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6.png" ContentType="image/png"/>
  <Override PartName="/word/media/rId43.png" ContentType="image/png"/>
  <Override PartName="/word/media/rId33.png" ContentType="image/png"/>
  <Override PartName="/word/media/rId39.png" ContentType="image/png"/>
  <Override PartName="/word/media/rId89.png" ContentType="image/png"/>
  <Override PartName="/word/media/rId174.png" ContentType="image/png"/>
  <Override PartName="/word/media/rId173.png" ContentType="image/png"/>
  <Override PartName="/word/media/rId170.png" ContentType="image/png"/>
  <Override PartName="/word/media/rId168.png" ContentType="image/png"/>
  <Override PartName="/word/media/rId167.png" ContentType="image/png"/>
  <Override PartName="/word/media/rId78.png" ContentType="image/png"/>
  <Override PartName="/word/media/rId75.png" ContentType="image/png"/>
  <Override PartName="/word/media/rId77.png" ContentType="image/png"/>
  <Override PartName="/word/media/rId73.png" ContentType="image/png"/>
  <Override PartName="/word/media/rId80.png" ContentType="image/png"/>
  <Override PartName="/word/media/rId181.png" ContentType="image/png"/>
  <Override PartName="/word/media/rId121.png" ContentType="image/png"/>
  <Override PartName="/word/media/rId118.png" ContentType="image/png"/>
  <Override PartName="/word/media/rId116.png" ContentType="image/png"/>
  <Override PartName="/word/media/rId175.png" ContentType="image/png"/>
  <Override PartName="/word/media/rId111.png" ContentType="image/png"/>
  <Override PartName="/word/media/rId114.png" ContentType="image/png"/>
  <Override PartName="/word/media/rId107.png" ContentType="image/png"/>
  <Override PartName="/word/media/rId109.png" ContentType="image/png"/>
  <Override PartName="/word/media/rId99.png" ContentType="image/png"/>
  <Override PartName="/word/media/rId103.png" ContentType="image/png"/>
  <Override PartName="/word/media/rId101.png" ContentType="image/png"/>
  <Override PartName="/word/media/rId180.png" ContentType="image/png"/>
  <Override PartName="/word/media/rId179.png" ContentType="image/png"/>
  <Override PartName="/word/media/rId64.png" ContentType="image/png"/>
  <Override PartName="/word/media/rId65.png" ContentType="image/png"/>
  <Override PartName="/word/media/rId158.png" ContentType="image/png"/>
  <Override PartName="/word/media/rId157.png" ContentType="image/png"/>
  <Override PartName="/word/media/rId155.png" ContentType="image/png"/>
  <Override PartName="/word/media/rId154.png" ContentType="image/png"/>
  <Override PartName="/word/media/rId59.png" ContentType="image/png"/>
  <Override PartName="/word/media/rId57.png" ContentType="image/png"/>
  <Override PartName="/word/media/rId152.png" ContentType="image/png"/>
  <Override PartName="/word/media/rId162.png" ContentType="image/png"/>
  <Override PartName="/word/media/rId123.png" ContentType="image/png"/>
  <Override PartName="/word/media/rId165.png" ContentType="image/png"/>
  <Override PartName="/word/media/rId164.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Key points:</w:t>
      </w:r>
    </w:p>
    <w:p>
      <w:pPr>
        <w:pStyle w:val="Compact"/>
        <w:numPr>
          <w:numId w:val="1001"/>
          <w:ilvl w:val="0"/>
        </w:numPr>
      </w:pPr>
      <w:r>
        <w:t xml:space="preserve">refined method of vertical Rack passive sampling of rising stage in streams</w:t>
      </w:r>
    </w:p>
    <w:p>
      <w:pPr>
        <w:pStyle w:val="Compact"/>
        <w:numPr>
          <w:numId w:val="1001"/>
          <w:ilvl w:val="0"/>
        </w:numPr>
      </w:pPr>
      <w:r>
        <w:t xml:space="preserve">there were seasonal differences in spatial patterns to NOM character, although the dry and wet season mean concentrations were the same.</w:t>
      </w:r>
    </w:p>
    <w:p>
      <w:pPr>
        <w:pStyle w:val="Compact"/>
        <w:numPr>
          <w:numId w:val="1001"/>
          <w:ilvl w:val="0"/>
        </w:numPr>
      </w:pPr>
      <w:r>
        <w:t xml:space="preserve">mixing and reservoir effects will change riverine water quality prior to intake at the tower</w:t>
      </w:r>
    </w:p>
    <w:p>
      <w:pPr>
        <w:pStyle w:val="FirstParagraph"/>
      </w:pPr>
      <w:r>
        <w:t xml:space="preserve"> </w:t>
      </w:r>
    </w:p>
    <w:p>
      <w:pPr>
        <w:pStyle w:val="BodyText"/>
      </w:pPr>
      <w:r>
        <w:t xml:space="preserve">…</w:t>
      </w:r>
      <w:r>
        <w:t xml:space="preserve"> </w:t>
      </w:r>
      <w:r>
        <w:t xml:space="preserve">Streams are intrinsically linked to their watersheds through dynamic biotic-abiotic interactions and hydroclimatic relationships; as a result, aqueous biogeochemicals like NOM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r>
        <w:br/>
      </w:r>
      <w:r>
        <w:t xml:space="preserve">…</w:t>
      </w:r>
    </w:p>
    <w:p>
      <w:pPr>
        <w:pStyle w:val="BodyText"/>
      </w:pPr>
      <w:r>
        <w:t xml:space="preserve"> </w:t>
      </w:r>
    </w:p>
    <w:p>
      <w:pPr>
        <w:pStyle w:val="BodyText"/>
      </w:pPr>
      <w:r>
        <w:rPr>
          <w:i/>
          <w:b/>
        </w:rPr>
        <w:t xml:space="preserve">to be updated following completion of results</w:t>
      </w:r>
    </w:p>
    <w:p>
      <w:pPr>
        <w:pStyle w:val="BodyText"/>
      </w:pPr>
      <w:r>
        <w:t xml:space="preserve">Monitoring source water quality and hydrologic dynamics is a crucial part of a multi-barrier approach to clean drinking water.</w:t>
      </w:r>
      <w:r>
        <w:t xml:space="preserve"> </w:t>
      </w:r>
      <w:r>
        <w:t xml:space="preserve">In a riverine system, hydrochemical pulses have a range of magnitudes, timings and relationships amongst sub-catchments.</w:t>
      </w:r>
      <w:r>
        <w:t xml:space="preserve"> </w:t>
      </w:r>
      <w:r>
        <w:t xml:space="preserve">As the majority of drinking water in Canada originates in forested headwaters, forest management is intimately tied to drinking water supplies for many communities. There are many ways in which forest management can effect the hydrology of a catchment, as well as the water quality. However, without a baseline understanding of hydrochemical dynamics, it’s difficult to say whether observations fit within baseline variability or indicate a departure from a catchment’s range due to forest prescriptions.</w:t>
      </w:r>
    </w:p>
    <w:p>
      <w:pPr>
        <w:pStyle w:val="BodyText"/>
      </w:pPr>
      <w:r>
        <w:t xml:space="preserve">As part of the NSERC</w:t>
      </w:r>
      <w:r>
        <w:t xml:space="preserve"> </w:t>
      </w:r>
      <w:r>
        <w:t xml:space="preserve">‘</w:t>
      </w:r>
      <w:r>
        <w:t xml:space="preserve">forWater</w:t>
      </w:r>
      <w:r>
        <w:t xml:space="preserve">’</w:t>
      </w:r>
      <w:r>
        <w:t xml:space="preserve"> </w:t>
      </w:r>
      <w:r>
        <w:t xml:space="preserve">Network for Forested Drinking Water Source Protection Technologies, this research was conducted in partnership with a regional protected water supply to characterize the relative ranges of hydrochemical dynamics and the syncrony of rainfall response among subbasins. Six subbasin sites were equipped with vertical sampling racks to continuously log river stage and passively collect water samples on the rising limb of the hydrograph. Samples were analyzed for dissolved organic carbon (DOC) and dissolved organic matter (DOM) through high temperature combustion and UV-Vis spectroscopy (respectively) to assess landscape connectivity, and a subset of samples were analyzed for a suite of metals to assess DOM transport relationships.</w:t>
      </w:r>
    </w:p>
    <w:p>
      <w:pPr>
        <w:pStyle w:val="BodyText"/>
      </w:pPr>
      <w:r>
        <w:t xml:space="preserve">As a case study, understanding the baseline of hydrochemical dynamics in this protected water supply area can help pave the way for future experimental forest treatments, such as preventative forest fuel management, and can help to anticipate changes in treatment requirements due to hydrodynamic forcing across the watershed. More broadly, these analyses add to our understanding of</w:t>
      </w:r>
      <w:r>
        <w:t xml:space="preserve"> </w:t>
      </w:r>
      <w:r>
        <w:t xml:space="preserve">“</w:t>
      </w:r>
      <w:r>
        <w:t xml:space="preserve">natural</w:t>
      </w:r>
      <w:r>
        <w:t xml:space="preserve">”</w:t>
      </w:r>
      <w:r>
        <w:t xml:space="preserve"> </w:t>
      </w:r>
      <w:r>
        <w:t xml:space="preserve">variability across a recently undisturbed second growth forested catchment.</w:t>
      </w:r>
    </w:p>
    <w:p>
      <w:pPr>
        <w:pStyle w:val="BodyText"/>
      </w:pPr>
      <w:r>
        <w:t xml:space="preserve">This research explored the spatial and temporal dynamics of hydrochemcial synchrony</w:t>
      </w:r>
    </w:p>
    <w:p>
      <w:r>
        <w:pict>
          <v:rect style="width:0;height:1.5pt" o:hralign="center" o:hrstd="t" o:hr="t"/>
        </w:pict>
      </w:r>
    </w:p>
    <w:p>
      <w:pPr>
        <w:pStyle w:val="FirstParagraph"/>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2"/>
          <w:ilvl w:val="0"/>
        </w:numPr>
      </w:pPr>
      <w:r>
        <w:t xml:space="preserve">TOC</w:t>
      </w:r>
    </w:p>
    <w:p>
      <w:pPr>
        <w:pStyle w:val="Compact"/>
        <w:numPr>
          <w:numId w:val="1002"/>
          <w:ilvl w:val="0"/>
        </w:numPr>
      </w:pPr>
      <w:r>
        <w:t xml:space="preserve">LOT</w:t>
      </w:r>
    </w:p>
    <w:p>
      <w:pPr>
        <w:pStyle w:val="Compact"/>
        <w:numPr>
          <w:numId w:val="1002"/>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with 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w:t>
      </w:r>
      <w:r>
        <w:t xml:space="preserve"> </w:t>
      </w:r>
      <w:r>
        <w:t xml:space="preserve">(Levine, Yang, and Goodrich</w:t>
      </w:r>
      <w:r>
        <w:t xml:space="preserve"> </w:t>
      </w:r>
      <w:hyperlink w:anchor="ref-Levine2016">
        <w:r>
          <w:rPr>
            <w:rStyle w:val="Hyperlink"/>
          </w:rPr>
          <w:t xml:space="preserve">2016</w:t>
        </w:r>
      </w:hyperlink>
      <w:r>
        <w:t xml:space="preserve">)</w:t>
      </w:r>
      <w:r>
        <w:t xml:space="preserve">,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w:t>
      </w:r>
      <w:r>
        <w:t xml:space="preserve"> </w:t>
      </w:r>
      <w:r>
        <w:t xml:space="preserve">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DOC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The molecular structure of NOM can be assessed through spectrophotometry so long as the molecules absorb ultraviolet (UV) or visible (Vis) light, which a physiochemical ability determined by molecular electronic structure. UV-Vis absorption requires the presence of a conjugated pi-bond system (i.e. a chromophore), which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thus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exhibits dynamic variability across watersheds, its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w:t>
      </w:r>
    </w:p>
    <w:p>
      <w:pPr>
        <w:pStyle w:val="BodyText"/>
      </w:pPr>
      <w:r>
        <w:t xml:space="preserve">To gain baseline information in anticipation of the the Leech River being used for drinking water supply, CRD hydrology and water quality monitoring programs for the Leech WSA began in 2017. Better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the broad spatial characteristics of aqueous NOM dynamics across the GVWSA. The sampling design considered both limitations in ability to manually collect data and resource constraints to sample continuously.</w:t>
      </w:r>
    </w:p>
    <w:p>
      <w:pPr>
        <w:pStyle w:val="SourceCode"/>
      </w:pPr>
      <w:r>
        <w:rPr>
          <w:rStyle w:val="VerbatimChar"/>
        </w:rP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Leech WSA. </w:t>
      </w:r>
    </w:p>
    <w:p>
      <w:pPr>
        <w:pStyle w:val="FirstParagraph"/>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w:t>
      </w:r>
    </w:p>
    <w:p>
      <w:pPr>
        <w:pStyle w:val="BodyText"/>
      </w:pPr>
      <w:r>
        <w:t xml:space="preserve"> </w:t>
      </w:r>
    </w:p>
    <w:p>
      <w:pPr>
        <w:pStyle w:val="BodyText"/>
      </w:pPr>
      <w:r>
        <w:t xml:space="preserve">This chapter details methods and foundational results that were common to all subsequent chapters. Spectral properties were evaluated</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(crk) is the largest tributary (11.12 km</w:t>
      </w:r>
      <w:r>
        <w:rPr>
          <w:vertAlign w:val="superscript"/>
        </w:rPr>
        <w:t xml:space="preserve">2</w:t>
      </w:r>
      <w:r>
        <w:t xml:space="preserve"> </w:t>
      </w:r>
      <w:r>
        <w:t xml:space="preserve">basin) to Sooke Reservoir and Judge crk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crk and Chris crk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609"/>
        <w:gridCol w:w="812"/>
        <w:gridCol w:w="304"/>
        <w:gridCol w:w="338"/>
        <w:gridCol w:w="507"/>
        <w:gridCol w:w="507"/>
        <w:gridCol w:w="710"/>
        <w:gridCol w:w="778"/>
        <w:gridCol w:w="609"/>
        <w:gridCol w:w="507"/>
        <w:gridCol w:w="1116"/>
        <w:gridCol w:w="1116"/>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Water supply area (WSA)</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left"/>
            </w:pPr>
            <w:r>
              <w:t xml:space="preserve">Leech</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left"/>
            </w:pPr>
            <w:r>
              <w:t xml:space="preserve">Leech</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left"/>
            </w:pPr>
            <w:r>
              <w:t xml:space="preserve">Leech</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left"/>
            </w:pPr>
            <w:r>
              <w:t xml:space="preserve">Leech</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left"/>
            </w:pPr>
            <w:r>
              <w:t xml:space="preserve">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left"/>
            </w:pPr>
            <w:r>
              <w:t xml:space="preserve">Leech</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left"/>
            </w:pPr>
            <w:r>
              <w:t xml:space="preserve">Sooke</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left"/>
            </w:pPr>
            <w:r>
              <w:t xml:space="preserve">Sooke</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left"/>
            </w:pPr>
            <w:r>
              <w:t xml:space="preserve">Sooke</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left"/>
            </w:pPr>
            <w:r>
              <w:t xml:space="preserve">Leech</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left"/>
            </w:pPr>
            <w:r>
              <w:t xml:space="preserve">Leech</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left"/>
            </w:pPr>
            <w:r>
              <w:t xml:space="preserve">Leech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Februaru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 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also installed at monitoring site locations; images were taken hourly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pPr>
        <w:pStyle w:val="BodyText"/>
      </w:pPr>
      <w:r>
        <w:t xml:space="preserve"> </w:t>
      </w:r>
    </w:p>
    <w:p>
      <w:pPr>
        <w:pStyle w:val="BodyText"/>
      </w:pPr>
      <w:r>
        <w:t xml:space="preserve">Each siphon bottle’s filling-stage was referenced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BodyText"/>
      </w:pPr>
      <w:r>
        <w:t xml:space="preserve">The representativeness of Vertical Rack samples rely on two key assumptions: (1) well mixed water column (no stratification); and (2) the samples were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w:t>
      </w:r>
      <w:r>
        <w:t xml:space="preserve"> </w:t>
      </w:r>
      <w:r>
        <w:rPr>
          <w:i/>
        </w:rPr>
        <w:t xml:space="preserve">HHHH</w:t>
      </w:r>
      <w:r>
        <w:t xml:space="preserve"> </w:t>
      </w:r>
      <w:r>
        <w:t xml:space="preserve">for Network details and</w:t>
      </w:r>
      <w:r>
        <w:t xml:space="preserve"> </w:t>
      </w:r>
      <w:r>
        <w:rPr>
          <w:i/>
        </w:rPr>
        <w:t xml:space="preserve">IIII</w:t>
      </w:r>
      <w:r>
        <w:t xml:space="preserve"> </w:t>
      </w:r>
      <w:r>
        <w:t xml:space="preserve">for metals details).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 To verify that DOC plays a role in metals transport, relationships between DOC and aqueous metals concentrations were assessed.</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and the timing and length of seasons can vary year to year. Here, seasons were defined by sampling method restrictions such that the</w:t>
      </w:r>
      <w:r>
        <w:t xml:space="preserve"> </w:t>
      </w:r>
      <w:r>
        <w:t xml:space="preserve">“</w:t>
      </w:r>
      <w:r>
        <w:t xml:space="preserve">wet</w:t>
      </w:r>
      <w:r>
        <w:t xml:space="preserve">”</w:t>
      </w:r>
      <w:r>
        <w:t xml:space="preserve"> </w:t>
      </w:r>
      <w:r>
        <w:t xml:space="preserve">season was defined by conditions that generated stream responses significant enough for Vertical Racks to collect rising limb samples, and the</w:t>
      </w:r>
      <w:r>
        <w:t xml:space="preserve"> </w:t>
      </w:r>
      <w:r>
        <w:t xml:space="preserve">“</w:t>
      </w:r>
      <w:r>
        <w:t xml:space="preserve">dry</w:t>
      </w:r>
      <w:r>
        <w:t xml:space="preserve">”</w:t>
      </w:r>
      <w:r>
        <w:t xml:space="preserve"> </w:t>
      </w:r>
      <w:r>
        <w:t xml:space="preserve">season was defined by baseflow conditions where stream response was not detected at the Vertical Racks.</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data from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BodyText"/>
      </w:pPr>
      <w:r>
        <w:t xml:space="preserve">October 2018 through to February 2020 (the study period) was warmer and drier than historical climate normals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w:t>
      </w:r>
      <w:r>
        <w:t xml:space="preserve"> </w:t>
      </w:r>
      <w:r>
        <w:rPr>
          <w:b/>
        </w:rPr>
        <w:t xml:space="preserve">XXXX</w:t>
      </w:r>
      <w:r>
        <w:t xml:space="preserve">).</w:t>
      </w:r>
    </w:p>
    <w:p>
      <w:pPr>
        <w:pStyle w:val="BodyText"/>
      </w:pPr>
      <w:r>
        <w:t xml:space="preserve"> </w:t>
      </w:r>
    </w:p>
    <w:p>
      <w:pPr>
        <w:pStyle w:val="Heading4"/>
      </w:pPr>
      <w:bookmarkStart w:id="58" w:name="Xc4b4acfe17439cc65e7c3ef94af73684a531207"/>
      <w:r>
        <w:t xml:space="preserve">Seasonal delineation &amp; Rack sample collection</w:t>
      </w:r>
      <w:bookmarkEnd w:id="58"/>
    </w:p>
    <w:p>
      <w:pPr>
        <w:pStyle w:val="FirstParagraph"/>
      </w:pPr>
      <w:r>
        <w:t xml:space="preserve">The wet seasons included 18 rain events big enough to trigger Vertical Rack sample collection. Rack samples were collected for rain events 50 mm and larger,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SAC</w:t>
      </w:r>
      <w:r>
        <w:rPr>
          <w:vertAlign w:val="subscript"/>
        </w:rPr>
        <w:t xml:space="preserve">254</w:t>
      </w:r>
      <w:r>
        <w:t xml:space="preserve"> </w:t>
      </w:r>
      <w:r>
        <w:t xml:space="preserve">was found to be a good indicator of NOM reactive character. Relationships between DBP-FPs with DOC, SUVA</w:t>
      </w:r>
      <w:r>
        <w:rPr>
          <w:vertAlign w:val="subscript"/>
        </w:rPr>
        <w:t xml:space="preserve">254</w:t>
      </w:r>
      <w:r>
        <w:t xml:space="preserve"> </w:t>
      </w:r>
      <w:r>
        <w:t xml:space="preserve">and SAC</w:t>
      </w:r>
      <w:r>
        <w:rPr>
          <w:vertAlign w:val="subscript"/>
        </w:rPr>
        <w:t xml:space="preserve">254</w:t>
      </w:r>
      <w:r>
        <w:t xml:space="preserve"> </w:t>
      </w:r>
      <w:r>
        <w:t xml:space="preserve">(see Appendix</w:t>
      </w:r>
      <w:r>
        <w:t xml:space="preserve"> </w:t>
      </w:r>
      <w:r>
        <w:rPr>
          <w:i/>
        </w:rPr>
        <w:t xml:space="preserve">CCCCC</w:t>
      </w:r>
      <w:r>
        <w:t xml:space="preserve"> </w:t>
      </w:r>
      <w:r>
        <w:t xml:space="preserve">for full details) revealed that SAC</w:t>
      </w:r>
      <w:r>
        <w:rPr>
          <w:vertAlign w:val="subscript"/>
        </w:rPr>
        <w:t xml:space="preserve">254</w:t>
      </w:r>
      <w:r>
        <w:t xml:space="preserve"> </w:t>
      </w:r>
      <w:r>
        <w:t xml:space="preserve">was better correlated to most DBP-FPs (r=0.68, overall) than was SUVA</w:t>
      </w:r>
      <w:r>
        <w:rPr>
          <w:vertAlign w:val="subscript"/>
        </w:rPr>
        <w:t xml:space="preserve">254</w:t>
      </w:r>
      <w:r>
        <w:t xml:space="preserve"> </w:t>
      </w:r>
      <w:r>
        <w:t xml:space="preserve">(r=0.36) or DOC (r=0.50). Thus,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results. E</w:t>
      </w:r>
      <w:r>
        <w:rPr>
          <w:vertAlign w:val="subscript"/>
        </w:rPr>
        <w:t xml:space="preserve">2</w:t>
      </w:r>
      <w:r>
        <w:t xml:space="preserve">:E</w:t>
      </w:r>
      <w:r>
        <w:rPr>
          <w:vertAlign w:val="subscript"/>
        </w:rPr>
        <w:t xml:space="preserve">3</w:t>
      </w:r>
      <w:r>
        <w:t xml:space="preserve"> </w:t>
      </w:r>
      <w:r>
        <w:t xml:space="preserve">was not well correlated to DBP-FP but was used as an (inverse) indicator of aqueous NOM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Results of collaborative sample analysis with the CRD (see Appendix</w:t>
      </w:r>
      <w:r>
        <w:t xml:space="preserve"> </w:t>
      </w:r>
      <w:r>
        <w:rPr>
          <w:i/>
        </w:rPr>
        <w:t xml:space="preserve">HHHH</w:t>
      </w:r>
      <w:r>
        <w:t xml:space="preserve">)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trail-cameras-and-circulating-dye-test"/>
      <w:r>
        <w:t xml:space="preserve">Trail cameras and circulating dye-test</w:t>
      </w:r>
      <w:bookmarkEnd w:id="62"/>
    </w:p>
    <w:p>
      <w:pPr>
        <w:pStyle w:val="FirstParagraph"/>
      </w:pPr>
      <w:r>
        <w:t xml:space="preserve">Trail cameras installed at four of the six monitoring sites provided observations of streamflow during Rack sample collection. Images (captured hourly) showed highly turbulent flows across rising limb stages. Therefore, the assumption that Vertical Rack samples were collected from well-mixed, un-stratified water was accepted.</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w:t>
      </w:r>
      <w:r>
        <w:t xml:space="preserve"> </w:t>
      </w:r>
      <w:r>
        <w:t xml:space="preserve">7</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0.625; 14% decrease, from 4.5 ± 0.2 to 3.9 ± 0.2). In addition to the changes in spectral properties, set C held samples had greater variability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Heading4"/>
      </w:pPr>
      <w:bookmarkStart w:id="70" w:name="spatial-temporal-patterns"/>
      <w:r>
        <w:t xml:space="preserve">Spatial &amp; temporal patterns</w:t>
      </w:r>
      <w:bookmarkEnd w:id="70"/>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crk, and three nested catchments above the Leech River Tunnel were examined. The Leech Tunnel is the effective outlet of the Leech WSA, where runoff from each nested catchment is integrated. From a headwater’s perspective, runoff from the sub-basins of Weeks crk and Chris crk is integrated at the Leech-head site; and runoff from Jarvis and Lazar crk sub-basins is integrated at the Cragg crk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Synoptic sampling results were evaluated over time to identify possible trends in NOM quantity and quality. To identify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Because the most heavily sampled sites were those equipped with Vertical Racks, which collected samples only the wet season, sample results from the six monitoring sites were isolated. Wet season NOM quantity and quality results were evaluated to compare event-based rising-limb (Rack) samples to non-rising limb (Grab) samples.</w:t>
      </w:r>
    </w:p>
    <w:p>
      <w:pPr>
        <w:pStyle w:val="BodyText"/>
      </w:pPr>
      <w:r>
        <w:t xml:space="preserve"> </w:t>
      </w:r>
    </w:p>
    <w:p>
      <w:pPr>
        <w:pStyle w:val="Heading3"/>
      </w:pPr>
      <w:bookmarkStart w:id="71" w:name="results"/>
      <w:r>
        <w:t xml:space="preserve">Results</w:t>
      </w:r>
      <w:bookmarkEnd w:id="71"/>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Mean DOC across the GVWSA was 6.1 mg/L (± 43%), which included the rising limb limb samples colelcted in the Leech WSA. This average concentration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72" w:name="X5df29f0d072217184f9d2c3d489d6e7d9af746b"/>
      <w:r>
        <w:t xml:space="preserve">Spatial patterns in NOM quantity and quality</w:t>
      </w:r>
      <w:bookmarkEnd w:id="72"/>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(n=49) and 9.7 mg/L (n=12),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(n=13) and 4.8 mg/L (n=64), respectively) were not unlike other streams of 3rd order or above (overall average 5.18 mg/L). The greatest range in DOC concentrations was measured at the Rithet crk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(n=57) – a monitoring site – was more heavily sampled than Rithet (n=13)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the Sooke WSA main tributaries to Sooke Reservoir: Judge crk (5.7 ± 1.1 mg/L, n=6) and Rithet crk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25"/>
        <w:gridCol w:w="2344"/>
        <w:gridCol w:w="208"/>
        <w:gridCol w:w="833"/>
        <w:gridCol w:w="364"/>
        <w:gridCol w:w="937"/>
        <w:gridCol w:w="833"/>
        <w:gridCol w:w="937"/>
        <w:gridCol w:w="833"/>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Similar to DOC concentration, there was an overall reduction in aromaticity, reactivity, and molecular size of NOM from upstream to downstream sites (Table</w:t>
      </w:r>
      <w:r>
        <w:t xml:space="preserve"> </w:t>
      </w:r>
      <w:r>
        <w:t xml:space="preserve">10</w:t>
      </w:r>
      <w:r>
        <w:t xml:space="preserve">, Figure</w:t>
      </w:r>
      <w:r>
        <w:t xml:space="preserve"> </w:t>
      </w:r>
      <w:r>
        <w:t xml:space="preserve">8</w:t>
      </w:r>
      <w:r>
        <w:t xml:space="preserve">). The greatest diversity in NOM reactivity, measured by SAC</w:t>
      </w:r>
      <w:r>
        <w:rPr>
          <w:vertAlign w:val="subscript"/>
        </w:rPr>
        <w:t xml:space="preserve">254</w:t>
      </w:r>
      <w:r>
        <w:t xml:space="preserve">, were recorded in headwater samples from Chris crk (50% RSD), Jarvis crk (47% RSD) and Lazar crk (45% RSD). The site with the greatest average reactivity, aromaticity and molecular weight NOM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crk (E</w:t>
      </w:r>
      <w:r>
        <w:rPr>
          <w:vertAlign w:val="subscript"/>
        </w:rPr>
        <w:t xml:space="preserve">2</w:t>
      </w:r>
      <w:r>
        <w:t xml:space="preserve">:E</w:t>
      </w:r>
      <w:r>
        <w:rPr>
          <w:vertAlign w:val="subscript"/>
        </w:rPr>
        <w:t xml:space="preserve">3</w:t>
      </w:r>
      <w:r>
        <w:t xml:space="preserve"> </w:t>
      </w:r>
      <w:r>
        <w:t xml:space="preserve">of 4.59 ± 0.05). Unlike Cragg crk’s low aromaticity and molecular weight NOM, it’s headwater sites (Jarvis and Lazar) had samples with highly aromatic and reactive NOM character. Jarvis crk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crk, had one of the most aromatic samples of all (lowest recorded E</w:t>
      </w:r>
      <w:r>
        <w:rPr>
          <w:vertAlign w:val="subscript"/>
        </w:rPr>
        <w:t xml:space="preserve">2</w:t>
      </w:r>
      <w:r>
        <w:t xml:space="preserve">:E</w:t>
      </w:r>
      <w:r>
        <w:rPr>
          <w:vertAlign w:val="subscript"/>
        </w:rPr>
        <w:t xml:space="preserve">3</w:t>
      </w:r>
      <w:r>
        <w:t xml:space="preserve">, 3.77). Lazar crk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crk also had the lowest average aromatic NOM (Table</w:t>
      </w:r>
      <w:r>
        <w:t xml:space="preserve"> </w:t>
      </w:r>
      <w:r>
        <w:t xml:space="preserve">10</w:t>
      </w:r>
      <w:r>
        <w:t xml:space="preserve">, Figure</w:t>
      </w:r>
      <w:r>
        <w:t xml:space="preserve"> </w:t>
      </w:r>
      <w:r>
        <w:t xml:space="preserve">8</w:t>
      </w:r>
      <w:r>
        <w:t xml:space="preserve">). Field observations included dry-season and early wet season algae blooms (Appendix</w:t>
      </w:r>
      <w:r>
        <w:t xml:space="preserve"> </w:t>
      </w:r>
      <w:r>
        <w:rPr>
          <w:b/>
        </w:rPr>
        <w:t xml:space="preserve">XXXX</w:t>
      </w:r>
      <w:r>
        <w:t xml:space="preserve">) in Jarvis crk, Lazar crk and Cragg crk (and other small streams draining the west side of Survey Mountain).</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3"/>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4" w:name="sampling-for-variance-method-evaluation"/>
      <w:r>
        <w:t xml:space="preserve">Sampling for variance: method evaluation</w:t>
      </w:r>
      <w:bookmarkEnd w:id="74"/>
    </w:p>
    <w:p>
      <w:pPr>
        <w:pStyle w:val="FirstParagraph"/>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crk (Levene’s p-value 0.0011). Unlike Leech-head, which had near-average DOC concentrations relative to its two headwaters, samples collected at Cragg crk had lower DOC concentrations than either of its headwater sites (Figure</w:t>
      </w:r>
      <w:r>
        <w:t xml:space="preserve"> </w:t>
      </w:r>
      <w:r>
        <w:t xml:space="preserve">9</w:t>
      </w:r>
      <w:r>
        <w:t xml:space="preserve">, plot B). The differences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crk, West Leech (Figure</w:t>
      </w:r>
      <w:r>
        <w:t xml:space="preserve"> </w:t>
      </w:r>
      <w:r>
        <w:t xml:space="preserve">9</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6" w:name="temporal-patterns-seasonal-changes"/>
      <w:r>
        <w:t xml:space="preserve">Temporal patterns &amp; seasonal changes</w:t>
      </w:r>
      <w:bookmarkEnd w:id="76"/>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Table</w:t>
      </w:r>
      <w:r>
        <w:t xml:space="preserve"> </w:t>
      </w:r>
      <w:r>
        <w:t xml:space="preserve">11</w:t>
      </w:r>
      <w:r>
        <w:t xml:space="preserve">).</w:t>
      </w:r>
    </w:p>
    <w:p>
      <w:pPr>
        <w:pStyle w:val="BodyText"/>
      </w:pPr>
      <w:r>
        <w:t xml:space="preserve"> </w:t>
      </w:r>
    </w:p>
    <w:p>
      <w:pPr>
        <w:pStyle w:val="BodyText"/>
      </w:pPr>
      <w:r>
        <w:t xml:space="preserve">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8"/>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4"/>
      </w:pPr>
      <w:bookmarkStart w:id="79" w:name="X971654038f58e3f2f20de98ca0285ce56ffafdc"/>
      <w:r>
        <w:t xml:space="preserve">Spatiotemporal NOM patterns and event-based sampling in the Leech watershed</w:t>
      </w:r>
      <w:bookmarkEnd w:id="79"/>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12</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5000.0"/>
        <w:tblLook w:firstRow="1"/>
        <w:tblCaption w:val="Table 12: Wet season NOM quantity (DOC) and reactivity (SAC254) by sample collection method at six monitoring sites in the Leech water supply area"/>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13</w:t>
      </w:r>
      <w:r>
        <w:t xml:space="preserve">). Leech-head was the only site where maximum NOM quantity was found in a non-rising-limb sample; at all other sites, peak DOC was obtained on the rising limb of event flows by Rack samplers. Interestingly, rising limb Rack sampling at Weeks crk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in on the rising limb than at other sampled flows. Leech-head and Weeks crk both had slightly less reactivity NOM in rising-limb samples. These two sites also had higher minimum concentration of DOC collected outside of the hydrograph rising limb, by Grab sample (Table</w:t>
      </w:r>
      <w:r>
        <w:t xml:space="preserve"> </w:t>
      </w:r>
      <w:r>
        <w:t xml:space="preserve">13</w:t>
      </w:r>
      <w:r>
        <w:t xml:space="preserve">). Weeks crk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13</w:t>
      </w:r>
      <w:r>
        <w:t xml:space="preserve">).</w:t>
      </w:r>
    </w:p>
    <w:p>
      <w:pPr>
        <w:pStyle w:val="BodyText"/>
      </w:pPr>
      <w:r>
        <w:t xml:space="preserve"> </w:t>
      </w:r>
    </w:p>
    <w:p>
      <w:pPr>
        <w:pStyle w:val="BodyText"/>
      </w:pPr>
      <w:r>
        <w:t xml:space="preserve">The difference observed at the Weeks crk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0"/>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81" w:name="discussion"/>
      <w:r>
        <w:t xml:space="preserve">Discussion</w:t>
      </w:r>
      <w:bookmarkEnd w:id="81"/>
    </w:p>
    <w:p>
      <w:pPr>
        <w:pStyle w:val="FirstParagraph"/>
      </w:pPr>
      <w:r>
        <w:t xml:space="preserve">Vertical Racks proved important for measuring event-based rising-limb NOM quantity and quality. Rising limb samples were 26% more concentrated,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2" w:name="spatial-patterns"/>
      <w:r>
        <w:t xml:space="preserve">Spatial patterns</w:t>
      </w:r>
      <w:bookmarkEnd w:id="82"/>
    </w:p>
    <w:p>
      <w:pPr>
        <w:pStyle w:val="FirstParagraph"/>
      </w:pPr>
      <w:r>
        <w:t xml:space="preserve">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differences among sites’ NOM dynamics.</w:t>
      </w:r>
    </w:p>
    <w:p>
      <w:pPr>
        <w:pStyle w:val="BodyText"/>
      </w:pPr>
      <w:r>
        <w:t xml:space="preserve"> </w:t>
      </w:r>
    </w:p>
    <w:p>
      <w:pPr>
        <w:pStyle w:val="BodyText"/>
      </w:pPr>
      <w:r>
        <w:t xml:space="preserve">Overall, lower DOC was observed in the streams draining from the eastern portion of the Leech WSA catchment (Cragg and Chris crks) and higher DOC was observed in the streams draining from the west (West Leech and Weeks crk). While it is possible that aspect played a role in these spatial difference, the difference in subsurface geology in the west and east basins of the Leech WSA may have played an important role in NOM differences, this is explored in Chapter 4.</w:t>
      </w:r>
    </w:p>
    <w:p>
      <w:pPr>
        <w:pStyle w:val="BodyText"/>
      </w:pPr>
      <w:r>
        <w:t xml:space="preserve"> </w:t>
      </w:r>
    </w:p>
    <w:p>
      <w:pPr>
        <w:pStyle w:val="Heading4"/>
      </w:pPr>
      <w:bookmarkStart w:id="83" w:name="temporal-patterns"/>
      <w:r>
        <w:t xml:space="preserve">Temporal patterns</w:t>
      </w:r>
      <w:bookmarkEnd w:id="83"/>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aqueous DOC during cold periods could have been due to intermittent soil frost (observed in the field), where freezing of terrestrial NOM sources effectively locked the source pool and reduced in-stream concentrations. It has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They and also noted that DOC export was linked to water export, so the low concentrations observed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NOM concentrations between seasons; both wet and dry seasons had mean DOC of 6 ± 3 mg/L. 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Rising limb samples generally had greater DOC concentrations and more reactive character than samples colelcted at other flows. Evaluating the Leech WSA monitoring site data more closely with respect to event-based changes will allow for a more detailed understanding of relationships between streamflow and NOM transport (Chapter 4).</w:t>
      </w:r>
    </w:p>
    <w:p>
      <w:pPr>
        <w:pStyle w:val="BodyText"/>
      </w:pPr>
      <w:r>
        <w:t xml:space="preserve"> </w:t>
      </w:r>
    </w:p>
    <w:p>
      <w:pPr>
        <w:pStyle w:val="Heading3"/>
      </w:pPr>
      <w:bookmarkStart w:id="84" w:name="summary-and-future-directions"/>
      <w:r>
        <w:t xml:space="preserve">Summary and future directions</w:t>
      </w:r>
      <w:bookmarkEnd w:id="84"/>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Expanded comparisons between the Leech Tunnel site, with Rithet and Judge crks would be particularly informative if conducted in conjunction with Sooke Reservoir water balance and residence time studies to evaluate changes to riverine source water in a reservoir (e.g. photodegredation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5" w:name="X9412f07105d07da2acfbf06a052fadb4118a49a"/>
      <w:r>
        <w:t xml:space="preserve">Watershed Characteristics and Sampling Conditions as Driving Forces for Dynamics of Aqueous Natural Organic Matter Across the Leech River Watershed</w:t>
      </w:r>
      <w:bookmarkEnd w:id="85"/>
    </w:p>
    <w:p>
      <w:pPr>
        <w:pStyle w:val="FirstParagraph"/>
      </w:pPr>
      <w:r>
        <w:t xml:space="preserve"> </w:t>
      </w:r>
    </w:p>
    <w:p>
      <w:pPr>
        <w:pStyle w:val="Heading3"/>
      </w:pPr>
      <w:bookmarkStart w:id="86" w:name="synopsis-and-introduction"/>
      <w:r>
        <w:t xml:space="preserve">Synopsis and introduction</w:t>
      </w:r>
      <w:bookmarkEnd w:id="86"/>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surfce and subsurface characteristics among the sub-basins could also be responsible for spatial variation in NOM dynamics.</w:t>
      </w:r>
    </w:p>
    <w:p>
      <w:pPr>
        <w:pStyle w:val="BodyText"/>
      </w:pPr>
      <w:r>
        <w:t xml:space="preserve"> </w:t>
      </w:r>
    </w:p>
    <w:p>
      <w:pPr>
        <w:pStyle w:val="BodyText"/>
      </w:pPr>
      <w:r>
        <w:t xml:space="preserve">Of the main tributaries to the Leech River mainstem, Cragg crk (draining from the east) had the lowest average DOC concentration and least aromatic reactive character, while West Leech NOM was higher in DOC concentration and more reactive NOM (Figure</w:t>
      </w:r>
      <w:r>
        <w:t xml:space="preserve"> </w:t>
      </w:r>
      <w:r>
        <w:t xml:space="preserve">13</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in concert with hydroclimatic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3"/>
      </w:pPr>
      <w:bookmarkStart w:id="87" w:name="methods"/>
      <w:r>
        <w:t xml:space="preserve">Methods</w:t>
      </w:r>
      <w:bookmarkEnd w:id="87"/>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monitoring site sub-basin characteristics. Variables preceded by square brackets indicate sub-surface features of parent material ([PM]) and soil groups ([S]).</w:t>
      </w:r>
    </w:p>
    <w:tbl>
      <w:tblPr>
        <w:tblStyle w:val="Table"/>
        <w:tblW w:type="pct" w:w="5000.0"/>
        <w:tblLook w:firstRow="1"/>
        <w:tblCaption w:val="Table 14: Summary of Leech watershed monitoring site sub-basin characteristic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random-forests"/>
      <w:r>
        <w:t xml:space="preserve">Random Forests</w:t>
      </w:r>
      <w:bookmarkEnd w:id="90"/>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1" w:name="Xdbf072f9dd4ce108ca202b166b2eb71de070079"/>
      <w:r>
        <w:t xml:space="preserve">Predictor variable refinement and quality assurance</w:t>
      </w:r>
      <w:bookmarkEnd w:id="91"/>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X39556df01a469ad8897e62841e12b81dc8c495a"/>
      <w:r>
        <w:t xml:space="preserve">Foundational results of Random Forest refinement</w:t>
      </w:r>
      <w:bookmarkEnd w:id="93"/>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3"/>
          <w:ilvl w:val="0"/>
        </w:numPr>
      </w:pPr>
      <w:r>
        <w:t xml:space="preserve">metamorphic parent-material (wark gneiss, percent of basin)</w:t>
      </w:r>
    </w:p>
    <w:p>
      <w:pPr>
        <w:pStyle w:val="Compact"/>
        <w:numPr>
          <w:numId w:val="1003"/>
          <w:ilvl w:val="0"/>
        </w:numPr>
      </w:pPr>
      <w:r>
        <w:t xml:space="preserve">igneous parent material (Metchosin volcanics &amp; gabbro stocks, percent of basin)</w:t>
      </w:r>
    </w:p>
    <w:p>
      <w:pPr>
        <w:pStyle w:val="Compact"/>
        <w:numPr>
          <w:numId w:val="1003"/>
          <w:ilvl w:val="0"/>
        </w:numPr>
      </w:pPr>
      <w:r>
        <w:t xml:space="preserve">drainage area (km</w:t>
      </w:r>
      <w:r>
        <w:rPr>
          <w:vertAlign w:val="superscript"/>
        </w:rPr>
        <w:t xml:space="preserve">2</w:t>
      </w:r>
      <w:r>
        <w:t xml:space="preserve">)</w:t>
      </w:r>
    </w:p>
    <w:p>
      <w:pPr>
        <w:pStyle w:val="Compact"/>
        <w:numPr>
          <w:numId w:val="1003"/>
          <w:ilvl w:val="0"/>
        </w:numPr>
      </w:pPr>
      <w:r>
        <w:t xml:space="preserve">mean basin slope (degrees)</w:t>
      </w:r>
    </w:p>
    <w:p>
      <w:pPr>
        <w:pStyle w:val="Compact"/>
        <w:numPr>
          <w:numId w:val="1003"/>
          <w:ilvl w:val="0"/>
        </w:numPr>
      </w:pPr>
      <w:r>
        <w:t xml:space="preserve">tree age (average, years)</w:t>
      </w:r>
    </w:p>
    <w:p>
      <w:pPr>
        <w:pStyle w:val="Compact"/>
        <w:numPr>
          <w:numId w:val="1003"/>
          <w:ilvl w:val="0"/>
        </w:numPr>
      </w:pPr>
      <w:r>
        <w:t xml:space="preserve">logging history (percent of basin harvested 1980-2011)</w:t>
      </w:r>
    </w:p>
    <w:p>
      <w:pPr>
        <w:pStyle w:val="Compact"/>
        <w:numPr>
          <w:numId w:val="1003"/>
          <w:ilvl w:val="0"/>
        </w:numPr>
      </w:pPr>
      <w:r>
        <w:t xml:space="preserve">antecedent 7-day air temperatures (°C, mean)</w:t>
      </w:r>
    </w:p>
    <w:p>
      <w:pPr>
        <w:pStyle w:val="Compact"/>
        <w:numPr>
          <w:numId w:val="1003"/>
          <w:ilvl w:val="0"/>
        </w:numPr>
      </w:pPr>
      <w:r>
        <w:t xml:space="preserve">antecedent 30-day rain (mm, total)</w:t>
      </w:r>
    </w:p>
    <w:p>
      <w:pPr>
        <w:pStyle w:val="Compact"/>
        <w:numPr>
          <w:numId w:val="1003"/>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4" w:name="rf-quality-assurance"/>
      <w:r>
        <w:t xml:space="preserve">RF quality assurance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5" w:name="rf-variable-groupings"/>
      <w:r>
        <w:t xml:space="preserve">RF variable groupings</w:t>
      </w:r>
      <w:bookmarkEnd w:id="95"/>
    </w:p>
    <w:p>
      <w:pPr>
        <w:pStyle w:val="FirstParagraph"/>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37</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96" w:name="results"/>
      <w:r>
        <w:t xml:space="preserve">Results</w:t>
      </w:r>
      <w:bookmarkEnd w:id="96"/>
    </w:p>
    <w:p>
      <w:pPr>
        <w:pStyle w:val="Heading4"/>
      </w:pPr>
      <w:bookmarkStart w:id="97" w:name="random-forest-variable-importance"/>
      <w:r>
        <w:t xml:space="preserve">Random Forest variable importance</w:t>
      </w:r>
      <w:bookmarkEnd w:id="97"/>
    </w:p>
    <w:p>
      <w:pPr>
        <w:pStyle w:val="Heading5"/>
      </w:pPr>
      <w:bookmarkStart w:id="98" w:name="doc-concentration"/>
      <w:r>
        <w:t xml:space="preserve">DOC: concentration</w:t>
      </w:r>
      <w:bookmarkEnd w:id="98"/>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0" w:name="sac254-reactivity-aromaticity"/>
      <w:r>
        <w:t xml:space="preserve">SAC</w:t>
      </w:r>
      <w:r>
        <w:rPr>
          <w:vertAlign w:val="subscript"/>
        </w:rPr>
        <w:t xml:space="preserve">254</w:t>
      </w:r>
      <w:r>
        <w:t xml:space="preserve">: reactivity &amp; aromaticity</w:t>
      </w:r>
      <w:bookmarkEnd w:id="100"/>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2"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102"/>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4" w:name="X05806a16612bf99e348f6b4d67c096a5e8ca3ee"/>
      <w:r>
        <w:t xml:space="preserve">Predictors in relation to NOM concentration and character</w:t>
      </w:r>
      <w:bookmarkEnd w:id="104"/>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37</w:t>
      </w:r>
      <w:r>
        <w:t xml:space="preserve">).</w:t>
      </w:r>
    </w:p>
    <w:p>
      <w:pPr>
        <w:pStyle w:val="BodyText"/>
      </w:pPr>
      <w:r>
        <w:t xml:space="preserve"> </w:t>
      </w:r>
    </w:p>
    <w:p>
      <w:pPr>
        <w:pStyle w:val="Heading5"/>
      </w:pPr>
      <w:bookmarkStart w:id="105" w:name="sampling-conditions"/>
      <w:r>
        <w:t xml:space="preserve">Sampling conditions</w:t>
      </w:r>
      <w:bookmarkEnd w:id="105"/>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6" w:name="sampling-stage"/>
      <w:r>
        <w:t xml:space="preserve">Sampling stage</w:t>
      </w:r>
      <w:bookmarkEnd w:id="106"/>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7"/>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8" w:name="antecedent-7-day-air-temperature"/>
      <w:r>
        <w:t xml:space="preserve">Antecedent 7-day air temperature</w:t>
      </w:r>
      <w:bookmarkEnd w:id="108"/>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38</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9"/>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0" w:name="antecedent-30-day-rain"/>
      <w:r>
        <w:t xml:space="preserve">Antecedent 30-day rain</w:t>
      </w:r>
      <w:bookmarkEnd w:id="110"/>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39</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2" w:name="watershed-characteristics"/>
      <w:r>
        <w:t xml:space="preserve">Watershed characteristics</w:t>
      </w:r>
      <w:bookmarkEnd w:id="112"/>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3" w:name="sub-basin-slope"/>
      <w:r>
        <w:t xml:space="preserve">Sub-basin slope</w:t>
      </w:r>
      <w:bookmarkEnd w:id="113"/>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w:t>
      </w:r>
      <w:r>
        <w:t xml:space="preserve"> </w:t>
      </w:r>
      <w:r>
        <w:t xml:space="preserve">(e.g. @ Oliver et al.</w:t>
      </w:r>
      <w:r>
        <w:t xml:space="preserve"> </w:t>
      </w:r>
      <w:hyperlink w:anchor="ref-Oliver2017">
        <w:r>
          <w:rPr>
            <w:rStyle w:val="Hyperlink"/>
          </w:rPr>
          <w:t xml:space="preserve">2017</w:t>
        </w:r>
      </w:hyperlink>
      <w:r>
        <w:t xml:space="preserve">; Aiken and Cotsaris</w:t>
      </w:r>
      <w:r>
        <w:t xml:space="preserve"> </w:t>
      </w:r>
      <w:hyperlink w:anchor="ref-Aiken1995">
        <w:r>
          <w:rPr>
            <w:rStyle w:val="Hyperlink"/>
          </w:rPr>
          <w:t xml:space="preserve">1995</w:t>
        </w:r>
      </w:hyperlink>
      <w:r>
        <w:t xml:space="preserve">; Ågren et al.</w:t>
      </w:r>
      <w:r>
        <w:t xml:space="preserve"> </w:t>
      </w:r>
      <w:hyperlink w:anchor="ref-Agren2008">
        <w:r>
          <w:rPr>
            <w:rStyle w:val="Hyperlink"/>
          </w:rPr>
          <w:t xml:space="preserve">2008</w:t>
        </w:r>
      </w:hyperlink>
      <w:r>
        <w:t xml:space="preserve">; Musolff et al.</w:t>
      </w:r>
      <w:r>
        <w:t xml:space="preserve"> </w:t>
      </w:r>
      <w:hyperlink w:anchor="ref-Musolff2018">
        <w:r>
          <w:rPr>
            <w:rStyle w:val="Hyperlink"/>
          </w:rPr>
          <w:t xml:space="preserve">2018</w:t>
        </w:r>
      </w:hyperlink>
      <w:r>
        <w:t xml:space="preserve">)</w:t>
      </w:r>
      <w:r>
        <w:t xml:space="preserve">.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4"/>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5" w:name="parent-material-metamorphic-wark-gneiss"/>
      <w:r>
        <w:t xml:space="preserve">Parent material (metamorphic wark gneiss)</w:t>
      </w:r>
      <w:bookmarkEnd w:id="115"/>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6"/>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logging-history-and-mean-tree-age"/>
      <w:r>
        <w:t xml:space="preserve">Logging history and mean tree age</w:t>
      </w:r>
      <w:bookmarkEnd w:id="117"/>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8"/>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9" w:name="variable-importance-summary"/>
      <w:r>
        <w:t xml:space="preserve">Variable importance Summary</w:t>
      </w:r>
      <w:bookmarkEnd w:id="119"/>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0" w:name="X8a5360c2131915aff3d568048020d54c1b1f742"/>
      <w:r>
        <w:t xml:space="preserve">Warm and wet: seasonal patterns and rain events</w:t>
      </w:r>
      <w:bookmarkEnd w:id="120"/>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23</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3: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22" w:name="rising-stage-and-aqueous-nom-dynamics"/>
      <w:r>
        <w:t xml:space="preserve">Rising stage and aqueous NOM dynamics</w:t>
      </w:r>
      <w:bookmarkEnd w:id="122"/>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15</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15</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stage changed at the fastest rate in the highest order stream, the Tunnel site, and slowest rate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24</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4:  Stage and samples collected, highlighting samples with maximum and minimum DOC concentrations for each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Stage and samples collected, highlighting samples with maximum and minimum DOC concentrations for each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4" w:name="discussion"/>
      <w:r>
        <w:t xml:space="preserve">Discussion</w:t>
      </w:r>
      <w:bookmarkEnd w:id="124"/>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realted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 There may be an effect on aqueous NOM associated with a combination of parent materials and soil development that wasn’t full elucidated in this analysis.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w:t>
      </w:r>
    </w:p>
    <w:p>
      <w:pPr>
        <w:pStyle w:val="BodyText"/>
      </w:pPr>
      <w:r>
        <w:t xml:space="preserve">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realtively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5" w:name="summary-and-future-directions"/>
      <w:r>
        <w:t xml:space="preserve">Summary and future directions</w:t>
      </w:r>
      <w:bookmarkEnd w:id="125"/>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w:t>
      </w:r>
      <w:r>
        <w:t xml:space="preserve"> </w:t>
      </w:r>
      <w:r>
        <w:rPr>
          <w:i/>
        </w:rPr>
        <w:t xml:space="preserve">XXXX</w:t>
      </w:r>
      <w:r>
        <w:t xml:space="preserve">)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BodyText"/>
      </w:pPr>
      <w:r>
        <w:t xml:space="preserve"> </w:t>
      </w:r>
    </w:p>
    <w:p>
      <w:pPr>
        <w:pStyle w:val="Heading2"/>
      </w:pPr>
      <w:bookmarkStart w:id="126" w:name="summary-and-conclusions"/>
      <w:r>
        <w:t xml:space="preserve">Summary and Conclusions</w:t>
      </w:r>
      <w:bookmarkEnd w:id="126"/>
    </w:p>
    <w:p>
      <w:pPr>
        <w:pStyle w:val="FirstParagraph"/>
      </w:pPr>
      <w:r>
        <w:t xml:space="preserve"> </w:t>
      </w:r>
    </w:p>
    <w:p>
      <w:pPr>
        <w:pStyle w:val="BodyText"/>
      </w:pPr>
      <w:r>
        <w:t xml:space="preserve">This project characterized aqueous NOM concentration and character ranges across the GVWSA over sixteen months and explored relationships between watershed variables and sample results across the Leech WSA. Chapters two and three tackled the first research question, which focused on method refinement for measuring variability of aqueous NOM. Spatiotemporal NOM data were collected through (1) six sub-basin sites equipped with vertical racks which logged river stage, air and water temperature at 10-minute intervals, and passively collected whole water samples during stormflow on rising limbs of the hydrograph; and (2) twelve sites, including the six sub-basin sites, were sampled synoptically every two to four weeks.</w:t>
      </w:r>
    </w:p>
    <w:p>
      <w:pPr>
        <w:pStyle w:val="BodyText"/>
      </w:pPr>
      <w:r>
        <w:t xml:space="preserve"> </w:t>
      </w:r>
    </w:p>
    <w:p>
      <w:pPr>
        <w:pStyle w:val="BodyText"/>
      </w:pPr>
      <w:r>
        <w:t xml:space="preserve">Results from twelve sites across the GVWSA were used to assess broad spatial and temporal patterns in stream NOM dynamics (Chapter 3). More in-depth analyses were completed for six of those sites which were equipped with vertical sampling racks (Chapter 4). Relationships between sample results and watershed characteristics and sampling conditions were evaluated to identify drivers for changes in NOM concentration and character across the Leech WSA (~96 km</w:t>
      </w:r>
      <w:r>
        <w:rPr>
          <w:vertAlign w:val="superscript"/>
        </w:rPr>
        <w:t xml:space="preserve">2</w:t>
      </w:r>
      <w:r>
        <w:t xml:space="preserve">) and it’s nested catchments (ranging in size from 9.6 to 37 km</w:t>
      </w:r>
      <w:r>
        <w:rPr>
          <w:vertAlign w:val="superscript"/>
        </w:rPr>
        <w:t xml:space="preserve">2</w:t>
      </w:r>
      <w:r>
        <w:t xml:space="preserve">).</w:t>
      </w:r>
    </w:p>
    <w:p>
      <w:pPr>
        <w:pStyle w:val="BodyText"/>
      </w:pPr>
      <w:r>
        <w:t xml:space="preserve"> </w:t>
      </w:r>
    </w:p>
    <w:p>
      <w:pPr>
        <w:pStyle w:val="BodyText"/>
      </w:pPr>
      <w:r>
        <w:t xml:space="preserve">This chapter summarizes research results from Chapters two to four, and provides context for how those results can be used to inform continued water quality monitoring and watershed management planning for future supplemental drinking water supply via inter-basin transfers. 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3"/>
      </w:pPr>
      <w:bookmarkStart w:id="127" w:name="recap-and-synopsis-of-results"/>
      <w:r>
        <w:t xml:space="preserve">Recap and synopsis of results</w:t>
      </w:r>
      <w:bookmarkEnd w:id="127"/>
    </w:p>
    <w:p>
      <w:pPr>
        <w:pStyle w:val="FirstParagraph"/>
      </w:pPr>
      <w:r>
        <w:t xml:space="preserve">Vertical Racks for passive event rising limb event hydrograph sampling were coupled with synoptic Grab sampling campaigns to measuring water quality changes over 16 months, through events, and across the GVWSA. A challenge of Vertical Rack sampling is that high water can prohibit safe retrieval of collected samples from the Racks. Coupling continuously recorded stage with manually recorded siphon bottle heights allowed for calculation of sample hold-times and quality control measures for samples that had exceeded an acceptable holding time (Chapter 2). Siphon sampling by Vertical Racks is currently limited to the rising hydrograph limb, but the combination of synoptic Grab sampling with and Rack sampling achieved good representation of reliable samples across the hydrograph.</w:t>
      </w:r>
    </w:p>
    <w:p>
      <w:pPr>
        <w:pStyle w:val="BodyText"/>
      </w:pPr>
      <w:r>
        <w:t xml:space="preserve"> </w:t>
      </w:r>
    </w:p>
    <w:p>
      <w:pPr>
        <w:pStyle w:val="BodyText"/>
      </w:pPr>
      <w:r>
        <w:t xml:space="preserve">Stream water samples were collected from across the Greater Victoria Water Supply Area (GVWSA) and aqueous natural organic matter (NOM) was evaluated for quantity and quality. Quantifying the organic carbon that forms NOM’s backbone is a proxy for the quantity of complex organic assemblies that comprises NOM.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In this research, the quantity of aqueous NOM was measured as the concentration of dissolved organic carbon (DOC) in each sample. The molecular quality of NOM was assessed by UV-Vis spectrophotometry. The specific absorbance coefficient at 254 nm wavelength (SAC</w:t>
      </w:r>
      <w:r>
        <w:rPr>
          <w:vertAlign w:val="subscript"/>
        </w:rPr>
        <w:t xml:space="preserve">254</w:t>
      </w:r>
      <w:r>
        <w:t xml:space="preserve">) was used as an indicator of NOM molecular aromaticity and reactivity (Appendix VVVVVV;</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Vidon, Wagner, and Soyeux (</w:t>
      </w:r>
      <w:hyperlink w:anchor="ref-Vidon2008">
        <w:r>
          <w:rPr>
            <w:rStyle w:val="Hyperlink"/>
          </w:rPr>
          <w:t xml:space="preserve">2008</w:t>
        </w:r>
      </w:hyperlink>
      <w:r>
        <w:t xml:space="preserve">)</w:t>
      </w:r>
      <w:r>
        <w:t xml:space="preserve">;</w:t>
      </w:r>
      <w:r>
        <w:t xml:space="preserve"> </w:t>
      </w:r>
      <w:r>
        <w:t xml:space="preserve">Abbott et al. (</w:t>
      </w:r>
      <w:hyperlink w:anchor="ref-Abbott2018">
        <w:r>
          <w:rPr>
            <w:rStyle w:val="Hyperlink"/>
          </w:rPr>
          <w:t xml:space="preserve">2018</w:t>
        </w:r>
      </w:hyperlink>
      <w:r>
        <w:t xml:space="preserve">)</w:t>
      </w:r>
      <w:r>
        <w:t xml:space="preserve">), and the quotient of SAC at 250 nm and 365 nm (E</w:t>
      </w:r>
      <w:r>
        <w:rPr>
          <w:vertAlign w:val="subscript"/>
        </w:rPr>
        <w:t xml:space="preserve">2</w:t>
      </w:r>
      <w:r>
        <w:t xml:space="preserve">:E</w:t>
      </w:r>
      <w:r>
        <w:rPr>
          <w:vertAlign w:val="subscript"/>
        </w:rPr>
        <w:t xml:space="preserve">3</w:t>
      </w:r>
      <w:r>
        <w:t xml:space="preserve">) was used to indicate (inversely)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Quantities and qualities of NOM vary over space and through time; understanding the spatiotemporal patterns of concentrations and character can help to inform source drinking water management decisions by providing insights to the origins, transport and fate of aqueous NOM and other parameters associated with it. For example, NOM can bind and transport metals in solution</w:t>
      </w:r>
      <w:r>
        <w:t xml:space="preserve"> </w:t>
      </w:r>
      <w:r>
        <w:t xml:space="preserve">(LaZerte</w:t>
      </w:r>
      <w:r>
        <w:t xml:space="preserve"> </w:t>
      </w:r>
      <w:hyperlink w:anchor="ref-LaZerte1991">
        <w:r>
          <w:rPr>
            <w:rStyle w:val="Hyperlink"/>
          </w:rPr>
          <w:t xml:space="preserve">1991</w:t>
        </w:r>
      </w:hyperlink>
      <w:r>
        <w:t xml:space="preserve">; Aiken, Hsu-Kim, and Ryan</w:t>
      </w:r>
      <w:r>
        <w:t xml:space="preserve"> </w:t>
      </w:r>
      <w:hyperlink w:anchor="ref-Aiken2011">
        <w:r>
          <w:rPr>
            <w:rStyle w:val="Hyperlink"/>
          </w:rPr>
          <w:t xml:space="preserve">2011</w:t>
        </w:r>
      </w:hyperlink>
      <w:r>
        <w:t xml:space="preserve">)</w:t>
      </w:r>
      <w:r>
        <w:t xml:space="preserve"> </w:t>
      </w:r>
      <w:r>
        <w:t xml:space="preserve">and DOC was positively correlated (Appendix XXXX) to the concentrations of total mercury (r=1.00), iron (r=0.83), manganese (r=0.77), and aluminum (r=0.63) as well as (to a lesser degree) barium (r=0.47), copper (0.42), and arsenic (r=0.33). Additionally, NOM in drinking source water supply is partially responsible for the formation of disinfection by-products (DBPs) in treated drinking water (Appendix NNNNN;</w:t>
      </w:r>
      <w:r>
        <w:t xml:space="preserve"> </w:t>
      </w:r>
      <w:r>
        <w:t xml:space="preserve">Yang et al. (</w:t>
      </w:r>
      <w:hyperlink w:anchor="ref-Yang2015">
        <w:r>
          <w:rPr>
            <w:rStyle w:val="Hyperlink"/>
          </w:rPr>
          <w:t xml:space="preserve">2015</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w:t>
      </w:r>
      <w:r>
        <w:t xml:space="preserve"> </w:t>
      </w:r>
      <w:r>
        <w:t xml:space="preserve">Beauchamp et al. (</w:t>
      </w:r>
      <w:hyperlink w:anchor="ref-Beauchamp2018">
        <w:r>
          <w:rPr>
            <w:rStyle w:val="Hyperlink"/>
          </w:rPr>
          <w:t xml:space="preserve">2018</w:t>
        </w:r>
      </w:hyperlink>
      <w:r>
        <w:t xml:space="preserve">)</w:t>
      </w:r>
      <w:r>
        <w:t xml:space="preserve">). SAC</w:t>
      </w:r>
      <w:r>
        <w:rPr>
          <w:vertAlign w:val="subscript"/>
        </w:rPr>
        <w:t xml:space="preserve">254</w:t>
      </w:r>
      <w:r>
        <w:t xml:space="preserve"> </w:t>
      </w:r>
      <w:r>
        <w:t xml:space="preserve">was used as an indicator of DBP formation potential (r=0.68; Appendix VVVVVV).</w:t>
      </w:r>
    </w:p>
    <w:p>
      <w:pPr>
        <w:pStyle w:val="BodyText"/>
      </w:pPr>
      <w:r>
        <w:t xml:space="preserve"> </w:t>
      </w:r>
    </w:p>
    <w:p>
      <w:pPr>
        <w:pStyle w:val="BodyText"/>
      </w:pPr>
      <w:r>
        <w:t xml:space="preserve">Because NOM is tied to transport of contaminants and drinking water treatment challenges, understanding spatiotemporal dynamics of this master variable is important for maintaining drinking water security and mitigating treatment challenges.</w:t>
      </w:r>
    </w:p>
    <w:p>
      <w:pPr>
        <w:pStyle w:val="BodyText"/>
      </w:pPr>
      <w:r>
        <w:t xml:space="preserve"> </w:t>
      </w:r>
    </w:p>
    <w:p>
      <w:pPr>
        <w:pStyle w:val="Heading4"/>
      </w:pPr>
      <w:bookmarkStart w:id="128" w:name="Xee2786d63f8e7b0900ac25ec568c325aeb499d2"/>
      <w:r>
        <w:t xml:space="preserve">Spatiotemporal dynamics in the quantity and quality of NOM</w:t>
      </w:r>
      <w:bookmarkEnd w:id="128"/>
    </w:p>
    <w:p>
      <w:pPr>
        <w:pStyle w:val="FirstParagraph"/>
      </w:pPr>
      <w:r>
        <w:t xml:space="preserve">The sampling period spanned sixteen months, from October 2018 to February 2020. Seasons were defined as</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and were distinguished by the activity of passive Vertical Rack sample collection. The wet season was characterized by conditions that generated event responses which triggered rising-stage sample collection in the six Leech WSA monitoring site streams (Chapter 2). Based on this definition of seasons, Vertical Racks collected rising limb samples only in the wet season (fall/winter/spring) while Grab samples were collected throughout the entire sampling period. During events, Grab samples were collected prior to stream rise, on the falling limb or between events, but not on the rising limb (not by design, but by happenstance). Sampling began after the start of the 2018/2019 wet season, which extended until mid-May 2019. The dry season spanned from mid-May to late September 2019, the start of the 2019/2020 wet season.</w:t>
      </w:r>
    </w:p>
    <w:p>
      <w:pPr>
        <w:pStyle w:val="BodyText"/>
      </w:pPr>
      <w:r>
        <w:t xml:space="preserve"> </w:t>
      </w:r>
    </w:p>
    <w:p>
      <w:pPr>
        <w:pStyle w:val="BodyText"/>
      </w:pPr>
      <w:r>
        <w:t xml:space="preserve">Results showed spatial patterns that were predicted by the river continuum concept (RCC), including higher levels of NOM in headwaters with attenuation in quantity along stream reaches. Longitudinal reduction in DOC (decreasing concentrations from upstream to downstream) were observed across the GVWSA sampling sites.</w:t>
      </w:r>
    </w:p>
    <w:p>
      <w:pPr>
        <w:pStyle w:val="BodyText"/>
      </w:pPr>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As anticipated by the river continuum concept and the pulse-shunt concept</w:t>
      </w:r>
      <w:r>
        <w:t xml:space="preserve"> </w:t>
      </w:r>
      <w:r>
        <w:t xml:space="preserve">(Vannote et al.</w:t>
      </w:r>
      <w:r>
        <w:t xml:space="preserve"> </w:t>
      </w:r>
      <w:hyperlink w:anchor="ref-Vannote1980">
        <w:r>
          <w:rPr>
            <w:rStyle w:val="Hyperlink"/>
          </w:rPr>
          <w:t xml:space="preserve">1980</w:t>
        </w:r>
      </w:hyperlink>
      <w:r>
        <w:t xml:space="preserve">; Raymond et al.</w:t>
      </w:r>
      <w:r>
        <w:t xml:space="preserve"> </w:t>
      </w:r>
      <w:hyperlink w:anchor="ref-Raymond2016">
        <w:r>
          <w:rPr>
            <w:rStyle w:val="Hyperlink"/>
          </w:rPr>
          <w:t xml:space="preserve">2016</w:t>
        </w:r>
      </w:hyperlink>
      <w:r>
        <w:t xml:space="preserve">)</w:t>
      </w:r>
      <w:r>
        <w:t xml:space="preserve">, spatial variation in Leech WSA fluvial NOM was attributed to hydrological processes and watershed characteristics. The most important watershed characteristics for NOM dynamics in the Leech WSA were geomorphic parent material. Stream stage was the key hydrologic condition for predicting NOM quantity, and antecedent wetness was key for predicting NOM quality.</w:t>
      </w:r>
    </w:p>
    <w:p>
      <w:pPr>
        <w:pStyle w:val="BodyText"/>
      </w:pPr>
      <w:r>
        <w:t xml:space="preserve">, physical impoundments, organic matter inputs and sources, mass transport, solar inputs, and processing by aquatic invertebrates and microbes</w:t>
      </w:r>
      <w:r>
        <w:t xml:space="preserve"> </w:t>
      </w:r>
      <w:r>
        <w:t xml:space="preserve">(Stanley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4"/>
          <w:ilvl w:val="0"/>
        </w:numPr>
      </w:pPr>
      <w:r>
        <w:t xml:space="preserve">The NOM quality changes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FirstParagraph"/>
      </w:pPr>
      <w:r>
        <w:t xml:space="preserve">While the average quantity of NOM was the same between seasons (6 ± 3 mg/L DOC), the quality of NOM differed. Aqueous NOM was larger, more aromatic and more reactive during the wet seasons than during the dry season; this seasonal character shift from autochthonous to allochthonous source quality was also predicted by the RCC.</w:t>
      </w:r>
    </w:p>
    <w:p>
      <w:pPr>
        <w:pStyle w:val="BodyText"/>
      </w:pPr>
      <w:r>
        <w:t xml:space="preserve"> </w:t>
      </w:r>
    </w:p>
    <w:p>
      <w:pPr>
        <w:pStyle w:val="BodyText"/>
      </w:pPr>
      <w:r>
        <w:t xml:space="preserve">Spatially, in both wet and dry seasons, DOC concentrations decreased from low to higher order streams, but NOM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The wet season decrease in NOM aromaticity was expected to occur in tandem with the longitudinal decrease in DOC concentration, due to dilution effects along stream reaches. In contrast, it was not expected that higher order streams would have larger and more aromatic NOM than lower order streams during the dry season, especially when DOC concentrations showed the opposite pattern. During downstream transport at low flows, is was expected that NOM would decrease in aromaticity due to abiotic or biotic oxidation (e.g. photodegradation and/or heterotrophic processing).</w:t>
      </w:r>
    </w:p>
    <w:p>
      <w:pPr>
        <w:pStyle w:val="BodyText"/>
      </w:pPr>
      <w:r>
        <w:t xml:space="preserve">It is possible that the simultaneous increase in absorbance and decrease in organic carbon</w:t>
      </w:r>
    </w:p>
    <w:p>
      <w:pPr>
        <w:pStyle w:val="BodyText"/>
      </w:pPr>
      <w:r>
        <w:t xml:space="preserve"> </w:t>
      </w:r>
    </w:p>
    <w:p>
      <w:pPr>
        <w:pStyle w:val="BodyText"/>
      </w:pPr>
      <w:r>
        <w:t xml:space="preserve">The relative elevation in downstream NOM aromaticity and molecular size (higher SAC</w:t>
      </w:r>
      <w:r>
        <w:rPr>
          <w:vertAlign w:val="subscript"/>
        </w:rPr>
        <w:t xml:space="preserve">254</w:t>
      </w:r>
      <w:r>
        <w:t xml:space="preserve"> </w:t>
      </w:r>
      <w:r>
        <w:t xml:space="preserve">and lower E</w:t>
      </w:r>
      <w:r>
        <w:rPr>
          <w:vertAlign w:val="subscript"/>
        </w:rPr>
        <w:t xml:space="preserve">2</w:t>
      </w:r>
      <w:r>
        <w:t xml:space="preserve">:E</w:t>
      </w:r>
      <w:r>
        <w:rPr>
          <w:vertAlign w:val="subscript"/>
        </w:rPr>
        <w:t xml:space="preserve">3</w:t>
      </w:r>
      <w:r>
        <w:t xml:space="preserve">) during the dry season could be due to UV-Vis interference: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here) displayed gradual decrease in absorbance with increasing wavelength with no major spikes, suggesting few interferences. Therefore, it seems more likely that the spectral indicies were indeed indicative of greater NOM aromaticity at lower reaches in the dry months, and were not due to aqueous species interference.</w:t>
      </w:r>
    </w:p>
    <w:p>
      <w:pPr>
        <w:pStyle w:val="BodyText"/>
      </w:pPr>
      <w:r>
        <w:t xml:space="preserve"> </w:t>
      </w:r>
    </w:p>
    <w:p>
      <w:pPr>
        <w:pStyle w:val="BodyText"/>
      </w:pPr>
      <w:r>
        <w:t xml:space="preserve">More aromatic NOM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More aromatic NOM in the wet season was likely sources from autochthonous terrestrial sources (e.g., humic and fluvic acids), while the less aromatic dry season NOM . it’s quite possibly that the increase in summer DOC was due to autochthonous sources such as algae and cyanobacteria, while fall DOC was</w:t>
      </w:r>
    </w:p>
    <w:p>
      <w:pPr>
        <w:pStyle w:val="Heading2"/>
      </w:pPr>
      <w:bookmarkStart w:id="129" w:name="spatial-stuff"/>
      <w:r>
        <w:t xml:space="preserve">spatial stuff</w:t>
      </w:r>
      <w:bookmarkEnd w:id="129"/>
    </w:p>
    <w:p>
      <w:pPr>
        <w:pStyle w:val="Compact"/>
        <w:numPr>
          <w:numId w:val="1005"/>
          <w:ilvl w:val="0"/>
        </w:numPr>
      </w:pPr>
      <w:r>
        <w:t xml:space="preserve">The site with the second highest DOC range was the West Leech sub-basin (20.85 km2) with mean DOC of 5.8 ± 2.4 mg/L (41% RSD).</w:t>
      </w:r>
    </w:p>
    <w:p>
      <w:pPr>
        <w:pStyle w:val="Heading2"/>
      </w:pPr>
      <w:bookmarkStart w:id="130" w:name="temporal-stuff"/>
      <w:r>
        <w:t xml:space="preserve">temporal stuff</w:t>
      </w:r>
      <w:bookmarkEnd w:id="130"/>
    </w:p>
    <w:p>
      <w:pPr>
        <w:pStyle w:val="Compact"/>
        <w:numPr>
          <w:numId w:val="1006"/>
          <w:ilvl w:val="0"/>
        </w:numPr>
      </w:pP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Compact"/>
        <w:numPr>
          <w:numId w:val="1006"/>
          <w:ilvl w:val="0"/>
        </w:numPr>
      </w:pPr>
      <w:r>
        <w:t xml:space="preserve">Mean DOC was the same, on average, in the wet and dry seasons (6 ± 3 mg/L).</w:t>
      </w:r>
    </w:p>
    <w:p>
      <w:pPr>
        <w:pStyle w:val="Compact"/>
        <w:numPr>
          <w:numId w:val="1006"/>
          <w:ilvl w:val="0"/>
        </w:numPr>
      </w:pPr>
      <w:r>
        <w:t xml:space="preserve">seasonal shift from autochthonous NOM sources in the dry season to allochthonous NOM sources in the wet season</w:t>
      </w:r>
    </w:p>
    <w:p>
      <w:pPr>
        <w:pStyle w:val="Compact"/>
        <w:numPr>
          <w:numId w:val="1006"/>
          <w:ilvl w:val="0"/>
        </w:numPr>
      </w:pPr>
      <w:r>
        <w:t xml:space="preserve">In the wet season, when hydrologic connectivity was greatest, the West Leech sub-basin had aromaticity and molecular size comparable to that of the wetland and lake-dominated Weeks crk sub-basin; though in the dry season, Weeks crk maintained highly aromatic character of stream NOM while the other sub-basins had lower molecular wight, less aromatic NOM than was found at the Tunnel site. The dry season spatial pattern of NOM quality was not expected. Based on the RCC, it was expected that there would be a spatial reduction in NOM character from headwaters to mouth. However, in the dry season, samples collected at the highest order stream (at the future point of diversion) were more aromatic in NOM character than all of the nested catchments except for Weeks crk, which maintained highly aromatic NOM throughout the year due to proximity to the wetlands of Weeks Lake.</w:t>
      </w:r>
      <w:r>
        <w:br/>
      </w:r>
    </w:p>
    <w:p>
      <w:pPr>
        <w:pStyle w:val="Compact"/>
        <w:numPr>
          <w:numId w:val="1006"/>
          <w:ilvl w:val="0"/>
        </w:numPr>
      </w:pPr>
      <w:r>
        <w:t xml:space="preserve">storm responses: early in the wet season there was a decrease in NOM concentration with increasing flows (higher stage), and as the wet season progresses, stream NOM concentration and aromaticity increased with increasing flows.</w:t>
      </w:r>
    </w:p>
    <w:p>
      <w:pPr>
        <w:pStyle w:val="Compact"/>
        <w:numPr>
          <w:numId w:val="1006"/>
          <w:ilvl w:val="0"/>
        </w:numPr>
      </w:pPr>
      <w:r>
        <w:t xml:space="preserve">The river continuum concept (RCC) explains temporal changes in NOM character through variable mobilization of source material and biogeochemical processing…</w:t>
      </w:r>
      <w:r>
        <w:t xml:space="preserve"> </w:t>
      </w:r>
      <w:r>
        <w:t xml:space="preserve">predicts a temporal shift in NOM character from autochthonous (e.g. algal) to allochthonous (e.g. humic material) sources, and a spatial reduction in NOM molecular diversity from headwaters to river mouth.</w:t>
      </w:r>
    </w:p>
    <w:p>
      <w:pPr>
        <w:pStyle w:val="Compact"/>
        <w:numPr>
          <w:numId w:val="1006"/>
          <w:ilvl w:val="0"/>
        </w:numPr>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Heading5"/>
      </w:pPr>
      <w:bookmarkStart w:id="131" w:name="drivers-for-variation"/>
      <w:r>
        <w:t xml:space="preserve">Drivers for variation</w:t>
      </w:r>
      <w:bookmarkEnd w:id="131"/>
    </w:p>
    <w:p>
      <w:pPr>
        <w:pStyle w:val="FirstParagraph"/>
      </w:pPr>
      <w:r>
        <w:t xml:space="preserve">Data from six sub-basin stream monitoring sites in the Leech WSA were used to assess sampling conditions and watershed characteristic variable importance for predicting NOM concentration and character.</w:t>
      </w:r>
    </w:p>
    <w:p>
      <w:pPr>
        <w:pStyle w:val="Compact"/>
        <w:numPr>
          <w:numId w:val="1007"/>
          <w:ilvl w:val="0"/>
        </w:numPr>
      </w:pPr>
      <w:r>
        <w:t xml:space="preserve">Aqueous NOM dynamics were largely driven by warm and wet conditions across the Leech WSA.</w:t>
      </w:r>
    </w:p>
    <w:p>
      <w:pPr>
        <w:pStyle w:val="Compact"/>
        <w:numPr>
          <w:numId w:val="1007"/>
          <w:ilvl w:val="0"/>
        </w:numPr>
      </w:pPr>
      <w:r>
        <w:t xml:space="preserve">wetness connecting</w:t>
      </w:r>
    </w:p>
    <w:p>
      <w:pPr>
        <w:pStyle w:val="Compact"/>
        <w:numPr>
          <w:numId w:val="1007"/>
          <w:ilvl w:val="0"/>
        </w:numPr>
      </w:pPr>
      <w:r>
        <w:t xml:space="preserve">Watershed characteristics, such as sub-basin parent materials and forest structure (age and logging history) are likely responsible for some spatial variation in stream water quality. In conjunction with physical characteristics of the watershed, hydrologic conditions are primarily responsible for temporal variations observeds in stream water quality.</w:t>
      </w:r>
    </w:p>
    <w:p>
      <w:pPr>
        <w:pStyle w:val="Compact"/>
        <w:numPr>
          <w:numId w:val="1007"/>
          <w:ilvl w:val="0"/>
        </w:numPr>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Compact"/>
        <w:numPr>
          <w:numId w:val="1007"/>
          <w:ilvl w:val="0"/>
        </w:numPr>
      </w:pPr>
      <w:r>
        <w:t xml:space="preserve">this indicates that greater saturation, which may be indicative of the connectivity between streams and the terrestrial environment, was more important than precipitation inputs in general.</w:t>
      </w:r>
    </w:p>
    <w:p>
      <w:pPr>
        <w:pStyle w:val="FirstParagraph"/>
      </w:pPr>
      <w:r>
        <w:t xml:space="preserve">… It appeared that when streams were near 75% of their maximum stage (therefore, approximately 0.75 of peak flow) humic source pools reached maximum connectivity with the streams… this could be explained by…</w:t>
      </w:r>
      <w:r>
        <w:t xml:space="preserve"> </w:t>
      </w:r>
      <w:r>
        <w:t xml:space="preserve">* the apparent stage threshold for peak DOC (~0.75 of max sampling stage) suggests a point at which allochthonous (humic) NOM supply reached maximum connectivity with the streams. This threshold could also indicate a point at with the event hydrograph was separated from soil water contributions and throughflow to overland flow and throughfall</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Heading3"/>
      </w:pPr>
      <w:bookmarkStart w:id="132" w:name="drinking-water-supply-lens"/>
      <w:r>
        <w:t xml:space="preserve">Drinking water supply lens</w:t>
      </w:r>
      <w:bookmarkEnd w:id="132"/>
    </w:p>
    <w:p>
      <w:pPr>
        <w:pStyle w:val="FirstParagraph"/>
      </w:pPr>
      <w:r>
        <w:t xml:space="preserve">Research Question 3. What are the implications for watershed management and future drinking water supply?</w:t>
      </w:r>
    </w:p>
    <w:p>
      <w:pPr>
        <w:pStyle w:val="BodyText"/>
      </w:pPr>
      <w:r>
        <w:t xml:space="preserve">–&gt; Provide context of how results can be used to inform watershed management planning for wildfire reduction strategies and design of continued water quality monitoring for future inter-basin transfers.</w:t>
      </w:r>
    </w:p>
    <w:p>
      <w:pPr>
        <w:pStyle w:val="Compact"/>
        <w:numPr>
          <w:numId w:val="1008"/>
          <w:ilvl w:val="0"/>
        </w:numPr>
      </w:pPr>
      <w:r>
        <w:t xml:space="preserve">Although DOC exceeded source water guidelines for TOC (4 mg/L), … RESERVOIR EFFECTS</w:t>
      </w:r>
    </w:p>
    <w:p>
      <w:pPr>
        <w:pStyle w:val="Compact"/>
        <w:numPr>
          <w:numId w:val="1008"/>
          <w:ilvl w:val="0"/>
        </w:numPr>
      </w:pPr>
      <w:r>
        <w:t xml:space="preserve">establishing connectivity among nested catchments as a baseline for experimental treatments (future)</w:t>
      </w:r>
    </w:p>
    <w:p>
      <w:pPr>
        <w:pStyle w:val="Compact"/>
        <w:numPr>
          <w:numId w:val="1008"/>
          <w:ilvl w:val="0"/>
        </w:numPr>
      </w:pPr>
      <w:r>
        <w:t xml:space="preserve">conflicting objectives and competing values (Peter Duinker’s work)</w:t>
      </w:r>
    </w:p>
    <w:p>
      <w:pPr>
        <w:pStyle w:val="Compact"/>
        <w:numPr>
          <w:numId w:val="1009"/>
          <w:ilvl w:val="1"/>
        </w:numPr>
      </w:pPr>
      <w:r>
        <w:t xml:space="preserve">managing temperate forests for timber removes carbon pools, managing for protection may increase the carbon, thus protection does not necessarily improve water quality.</w:t>
      </w:r>
    </w:p>
    <w:p>
      <w:pPr>
        <w:pStyle w:val="Compact"/>
        <w:numPr>
          <w:numId w:val="1009"/>
          <w:ilvl w:val="1"/>
        </w:numPr>
      </w:pPr>
      <w:r>
        <w:t xml:space="preserve">timber / carbon sequestration / water / biodiversity</w:t>
      </w:r>
    </w:p>
    <w:p>
      <w:pPr>
        <w:pStyle w:val="Compact"/>
        <w:numPr>
          <w:numId w:val="1008"/>
          <w:ilvl w:val="0"/>
        </w:numPr>
      </w:pPr>
      <w:r>
        <w:t xml:space="preserve">source water quality in rivers is unlikely to reflect the water at the intake tower</w:t>
      </w:r>
    </w:p>
    <w:p>
      <w:pPr>
        <w:pStyle w:val="Compact"/>
        <w:numPr>
          <w:numId w:val="1010"/>
          <w:ilvl w:val="1"/>
        </w:numPr>
      </w:pPr>
      <w:r>
        <w:t xml:space="preserve">reservoir residence times</w:t>
      </w:r>
    </w:p>
    <w:p>
      <w:pPr>
        <w:pStyle w:val="Compact"/>
        <w:numPr>
          <w:numId w:val="1010"/>
          <w:ilvl w:val="1"/>
        </w:numPr>
      </w:pPr>
      <w:r>
        <w:t xml:space="preserve">photodegradation</w:t>
      </w:r>
    </w:p>
    <w:p>
      <w:pPr>
        <w:pStyle w:val="Compact"/>
        <w:numPr>
          <w:numId w:val="1010"/>
          <w:ilvl w:val="1"/>
        </w:numPr>
      </w:pPr>
      <w:r>
        <w:t xml:space="preserve">physiochemcial reactions and changes</w:t>
      </w:r>
    </w:p>
    <w:p>
      <w:pPr>
        <w:pStyle w:val="Compact"/>
        <w:numPr>
          <w:numId w:val="1010"/>
          <w:ilvl w:val="1"/>
        </w:numPr>
      </w:pPr>
      <w:r>
        <w:t xml:space="preserve">biodegradation // transformation // bioproduction of NOM</w:t>
      </w:r>
    </w:p>
    <w:p>
      <w:pPr>
        <w:pStyle w:val="Compact"/>
        <w:numPr>
          <w:numId w:val="1010"/>
          <w:ilvl w:val="1"/>
        </w:numPr>
      </w:pPr>
      <w:r>
        <w:t xml:space="preserve">the rivers introduce new material and new conditions (e.g. different temperatures, dissolved oxygen, carbonate for buffering or organic acids altering pH, new microbiota) the</w:t>
      </w:r>
    </w:p>
    <w:p>
      <w:pPr>
        <w:pStyle w:val="Compact"/>
        <w:numPr>
          <w:numId w:val="1010"/>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0"/>
          <w:ilvl w:val="1"/>
        </w:numPr>
      </w:pPr>
      <w:r>
        <w:t xml:space="preserve">UV degradation is likely in lakes</w:t>
      </w:r>
    </w:p>
    <w:p>
      <w:pPr>
        <w:pStyle w:val="Compact"/>
        <w:numPr>
          <w:numId w:val="1010"/>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Heading4"/>
      </w:pPr>
      <w:bookmarkStart w:id="133" w:name="caveats-and-limitations"/>
      <w:r>
        <w:t xml:space="preserve">Caveats and limitations</w:t>
      </w:r>
      <w:bookmarkEnd w:id="133"/>
    </w:p>
    <w:p>
      <w:pPr>
        <w:pStyle w:val="FirstParagraph"/>
      </w:pPr>
      <w:r>
        <w:t xml:space="preserve">It was assumed that the UV-Vis spectral absorbances for each stream water sample were due to the natural organic matter content, however it is possible that other water quality variables could cause interference. For example,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w:t>
      </w:r>
    </w:p>
    <w:p>
      <w:pPr>
        <w:pStyle w:val="BodyText"/>
      </w:pPr>
      <w:r>
        <w:t xml:space="preserve"> </w:t>
      </w:r>
    </w:p>
    <w:p>
      <w:pPr>
        <w:pStyle w:val="Heading3"/>
      </w:pPr>
      <w:bookmarkStart w:id="134" w:name="concluding-remarks"/>
      <w:r>
        <w:t xml:space="preserve">Concluding remarks</w:t>
      </w:r>
      <w:bookmarkEnd w:id="134"/>
    </w:p>
    <w:p>
      <w:pPr>
        <w:pStyle w:val="FirstParagraph"/>
      </w:pPr>
      <w:r>
        <w:t xml:space="preserve">Across the Leech Water Supply Area (LWSA), the timing of changes in temperature, river response and DOC concentrations and character were synchronized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Heading1"/>
      </w:pPr>
      <w:bookmarkStart w:id="135" w:name="references"/>
      <w:r>
        <w:t xml:space="preserve">References</w:t>
      </w:r>
      <w:bookmarkEnd w:id="135"/>
    </w:p>
    <w:p>
      <w:pPr>
        <w:pStyle w:val="Heading1"/>
      </w:pPr>
      <w:bookmarkStart w:id="136" w:name="appendices"/>
      <w:r>
        <w:t xml:space="preserve">Appendices</w:t>
      </w:r>
      <w:bookmarkEnd w:id="136"/>
    </w:p>
    <w:p>
      <w:pPr>
        <w:pStyle w:val="Heading7"/>
      </w:pPr>
      <w:bookmarkStart w:id="137" w:name="technology-summary"/>
      <w:r>
        <w:t xml:space="preserve">Technology summary</w:t>
      </w:r>
      <w:bookmarkEnd w:id="137"/>
    </w:p>
    <w:p>
      <w:pPr>
        <w:pStyle w:val="FirstParagraph"/>
      </w:pPr>
      <w:r>
        <w:t xml:space="preserve">Digital equipment used in this thesis are summarized in Table</w:t>
      </w:r>
      <w:r>
        <w:t xml:space="preserve"> </w:t>
      </w:r>
      <w:r>
        <w:t xml:space="preserve">19</w:t>
      </w:r>
      <w:r>
        <w:t xml:space="preserve">.</w:t>
      </w:r>
    </w:p>
    <w:p>
      <w:pPr>
        <w:pStyle w:val="BodyText"/>
      </w:pPr>
      <w:r>
        <w:t xml:space="preserve"> </w:t>
      </w:r>
    </w:p>
    <w:p>
      <w:pPr>
        <w:pStyle w:val="TableCaption"/>
      </w:pPr>
      <w:r>
        <w:t xml:space="preserve">Table 19: Summary of hardware and sofware used in this thesis project</w:t>
      </w:r>
    </w:p>
    <w:tbl>
      <w:tblPr>
        <w:tblStyle w:val="Table"/>
        <w:tblW w:type="pct" w:w="5000.0"/>
        <w:tblLook w:firstRow="1"/>
        <w:tblCaption w:val="Table 19: Summary of hardware and sofware used in this thesis project"/>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8" w:name="example-calculations"/>
      <w:r>
        <w:t xml:space="preserve">Example calculations</w:t>
      </w:r>
      <w:bookmarkEnd w:id="138"/>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40" w:name="X98dc39d856ad51b9fee1476a54ede95168b6c62"/>
      <w:r>
        <w:t xml:space="preserve">Greater Victoria Regional Water Supply System, CRD</w:t>
      </w:r>
      <w:bookmarkEnd w:id="14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1" w:name="Xcf21184d8ccce3de636021e865985ac80b4f9f9"/>
      <w:r>
        <w:t xml:space="preserve">Leech water supply area monitoring sites: details and observations</w:t>
      </w:r>
      <w:bookmarkEnd w:id="14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2" w:name="weeks-creek-site-1"/>
      <w:r>
        <w:t xml:space="preserve">Weeks Creek (site 1)</w:t>
      </w:r>
      <w:bookmarkEnd w:id="142"/>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3" w:name="chris-creek-site-2"/>
      <w:r>
        <w:t xml:space="preserve">Chris Creek (site 2)</w:t>
      </w:r>
      <w:bookmarkEnd w:id="143"/>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4" w:name="leech-head-site-3"/>
      <w:r>
        <w:t xml:space="preserve">Leech Head (site 3)</w:t>
      </w:r>
      <w:bookmarkEnd w:id="144"/>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5" w:name="cragg-creek-site-4"/>
      <w:r>
        <w:t xml:space="preserve">Cragg Creek (site 4)</w:t>
      </w:r>
      <w:bookmarkEnd w:id="145"/>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BodyText"/>
      </w:pPr>
      <w:r>
        <w:t xml:space="preserve"> </w:t>
      </w:r>
    </w:p>
    <w:p>
      <w:pPr>
        <w:pStyle w:val="CaptionedFigure"/>
      </w:pPr>
      <w:r>
        <w:drawing>
          <wp:inline>
            <wp:extent cx="3642637" cy="4337581"/>
            <wp:effectExtent b="0" l="0" r="0" t="0"/>
            <wp:docPr descr="Figure 25: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6"/>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7" w:name="west-leech-site-5"/>
      <w:r>
        <w:t xml:space="preserve">West Leech (site 5)</w:t>
      </w:r>
      <w:bookmarkEnd w:id="147"/>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8" w:name="leech-tunnel-site-6"/>
      <w:r>
        <w:t xml:space="preserve">Leech Tunnel (site 6)</w:t>
      </w:r>
      <w:bookmarkEnd w:id="148"/>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49" w:name="field-protocol"/>
      <w:r>
        <w:t xml:space="preserve">Field protocol</w:t>
      </w:r>
      <w:bookmarkEnd w:id="14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0" w:name="Xb0eaaacec42655fbf10ff47af1a6a5b6552aad4"/>
      <w:r>
        <w:t xml:space="preserve">Weather and Climate (Chapter 2 results extended)</w:t>
      </w:r>
      <w:bookmarkEnd w:id="150"/>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Climate Anomalies and Departures from Normal for the Study Period from Oct. 2018 to Feb. 2020</w:t>
      </w:r>
    </w:p>
    <w:tbl>
      <w:tblPr>
        <w:tblStyle w:val="Table"/>
        <w:tblW w:type="pct" w:w="0.0"/>
        <w:tblLook w:firstRow="1"/>
        <w:tblCaption w:val="Table 20: Pacific Climate Impacts Consortium British Columbia Weather Stations Used to Establish Climate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degrees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5000.0"/>
        <w:tblLook w:firstRow="1"/>
        <w:tblCaption w:val="Table 21: Average Weather Departures from CLimate Normals from Bear Creek Reservoir and Shawnigan Lake Weather Stations"/>
      </w:tblPr>
      <w:tblGrid>
        <w:gridCol w:w="2304"/>
        <w:gridCol w:w="1656"/>
        <w:gridCol w:w="1944"/>
        <w:gridCol w:w="2015"/>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r>
    </w:tbl>
    <w:p>
      <w:pPr>
        <w:pStyle w:val="BodyText"/>
      </w:pPr>
      <w:r>
        <w:t xml:space="preserve"> </w:t>
      </w:r>
    </w:p>
    <w:p>
      <w:pPr>
        <w:pStyle w:val="BodyText"/>
      </w:pPr>
      <w:r>
        <w:t xml:space="preserve">While not all months had weather anomalies that were warmer and drier than normal, the majority of months did (Table</w:t>
      </w:r>
      <w:r>
        <w:t xml:space="preserve"> </w:t>
      </w:r>
      <w:r>
        <w:t xml:space="preserve">22</w:t>
      </w:r>
      <w:r>
        <w:t xml:space="preserve">).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from Bear Creek Reservoir and Shawnigan Lake Weather Stations</w:t>
      </w:r>
    </w:p>
    <w:tbl>
      <w:tblPr>
        <w:tblStyle w:val="Table"/>
        <w:tblW w:type="pct" w:w="5000.0"/>
        <w:tblLook w:firstRow="1"/>
        <w:tblCaption w:val="Table 22: Average Monthly Weather Anomalies from 1970 Onward from Bear Creek Reservoir and Shawnigan Lake Weather Stations"/>
      </w:tblPr>
      <w:tblGrid>
        <w:gridCol w:w="416"/>
        <w:gridCol w:w="833"/>
        <w:gridCol w:w="2167"/>
        <w:gridCol w:w="2167"/>
        <w:gridCol w:w="233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r>
    </w:tbl>
    <w:p>
      <w:pPr>
        <w:pStyle w:val="BodyText"/>
      </w:pPr>
      <w:r>
        <w:t xml:space="preserve"> </w:t>
      </w:r>
    </w:p>
    <w:p>
      <w:pPr>
        <w:pStyle w:val="Heading8"/>
      </w:pPr>
      <w:bookmarkStart w:id="151" w:name="fwx-stations-in-the-lwsa-ancillary-data"/>
      <w:r>
        <w:t xml:space="preserve">FWx stations in the LWSA: ancillary data</w:t>
      </w:r>
      <w:bookmarkEnd w:id="151"/>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26</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2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53" w:name="X7c6356a43fe14fad85e2bfec714ae5604410a47"/>
      <w:r>
        <w:t xml:space="preserve">Linear regression for air temperatures at vertical racks</w:t>
      </w:r>
      <w:bookmarkEnd w:id="153"/>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27</w:t>
      </w:r>
      <w:r>
        <w:t xml:space="preserve">).</w:t>
      </w:r>
    </w:p>
    <w:p>
      <w:pPr>
        <w:pStyle w:val="BodyText"/>
      </w:pPr>
      <w:r>
        <w:t xml:space="preserve"> </w:t>
      </w:r>
    </w:p>
    <w:p>
      <w:pPr>
        <w:pStyle w:val="CaptionedFigure"/>
      </w:pPr>
      <w:r>
        <w:drawing>
          <wp:inline>
            <wp:extent cx="5504749" cy="5504749"/>
            <wp:effectExtent b="0" l="0" r="0" t="0"/>
            <wp:docPr descr="Figure 2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28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2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5"/>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28:</w:t>
      </w:r>
      <w:r>
        <w:t xml:space="preserve"> </w:t>
      </w:r>
      <w:r>
        <w:rPr>
          <w:i/>
        </w:rPr>
        <w:t xml:space="preserve">Temperatures recorded in air and water on vertical racks at each research site.</w:t>
      </w:r>
    </w:p>
    <w:p>
      <w:pPr>
        <w:pStyle w:val="BodyText"/>
      </w:pPr>
      <w:r>
        <w:t xml:space="preserve"> </w:t>
      </w:r>
    </w:p>
    <w:p>
      <w:pPr>
        <w:pStyle w:val="Heading8"/>
      </w:pPr>
      <w:bookmarkStart w:id="156" w:name="Xcb91ee272f7dfa22c755b18931f0aed63be860e"/>
      <w:r>
        <w:t xml:space="preserve">Linear regression: air temperature estimation</w:t>
      </w:r>
      <w:bookmarkEnd w:id="156"/>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29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2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Crk, West Leech and the Tunnel (sites 4, 5, 6).</w:t>
      </w:r>
    </w:p>
    <w:p>
      <w:pPr>
        <w:pStyle w:val="BodyText"/>
      </w:pPr>
      <w:r>
        <w:t xml:space="preserve"> </w:t>
      </w:r>
    </w:p>
    <w:p>
      <w:pPr>
        <w:pStyle w:val="TableCaption"/>
      </w:pPr>
      <w:r>
        <w:t xml:space="preserve">Table 24:</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30</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8"/>
      </w:pPr>
      <w:bookmarkStart w:id="159" w:name="additional-sampling-and-analysis"/>
      <w:r>
        <w:t xml:space="preserve">Additional sampling and analysis</w:t>
      </w:r>
      <w:bookmarkEnd w:id="159"/>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0" w:name="X3c82df21c002a4855f328820b5a765237738175"/>
      <w:r>
        <w:t xml:space="preserve">Treatability: forWater coordinated treatability analyses for disinfection by-product formation potentials (DBP-FP)</w:t>
      </w:r>
      <w:bookmarkEnd w:id="160"/>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61" w:name="results-treatability-doc"/>
      <w:r>
        <w:t xml:space="preserve">Results: Treatability &amp; DOC</w:t>
      </w:r>
      <w:bookmarkEnd w:id="161"/>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31</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1: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62"/>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63" w:name="X4b7b3e6ac6573f953e6980479d08b8ee7c28f75"/>
      <w:r>
        <w:t xml:space="preserve">Metals &amp; DOC: collaborative sampling for Metals on behalf of the CRD</w:t>
      </w:r>
      <w:bookmarkEnd w:id="163"/>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32</w:t>
      </w:r>
      <w:r>
        <w:t xml:space="preserve"> </w:t>
      </w:r>
      <w:r>
        <w:t xml:space="preserve">shows DOC with total metals in μg/L, and Figure</w:t>
      </w:r>
      <w:r>
        <w:t xml:space="preserve"> </w:t>
      </w:r>
      <w:r>
        <w:t xml:space="preserve">33</w:t>
      </w:r>
      <w:r>
        <w:t xml:space="preserve"> </w:t>
      </w:r>
      <w:r>
        <w:t xml:space="preserve">shows metals in mg/L.</w:t>
      </w:r>
    </w:p>
    <w:p>
      <w:pPr>
        <w:pStyle w:val="BodyText"/>
      </w:pPr>
      <w:r>
        <w:t xml:space="preserve"> </w:t>
      </w:r>
    </w:p>
    <w:p>
      <w:pPr>
        <w:pStyle w:val="CaptionedFigure"/>
      </w:pPr>
      <w:r>
        <w:drawing>
          <wp:inline>
            <wp:extent cx="5942070" cy="3669832"/>
            <wp:effectExtent b="0" l="0" r="0" t="0"/>
            <wp:docPr descr="Figure 32: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4"/>
                    <a:stretch>
                      <a:fillRect/>
                    </a:stretch>
                  </pic:blipFill>
                  <pic:spPr bwMode="auto">
                    <a:xfrm>
                      <a:off x="0" y="0"/>
                      <a:ext cx="5942070" cy="366983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2070" cy="3669832"/>
            <wp:effectExtent b="0" l="0" r="0" t="0"/>
            <wp:docPr descr="Figure 33: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5"/>
                    <a:stretch>
                      <a:fillRect/>
                    </a:stretch>
                  </pic:blipFill>
                  <pic:spPr bwMode="auto">
                    <a:xfrm>
                      <a:off x="0" y="0"/>
                      <a:ext cx="5942070" cy="366983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26</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26:</w:t>
      </w:r>
      <w:r>
        <w:t xml:space="preserve"> </w:t>
      </w:r>
      <w:r>
        <w:rPr>
          <w:i/>
        </w:rPr>
        <w:t xml:space="preserve">Relationships between total metals with dissolved organic carbon</w:t>
      </w:r>
    </w:p>
    <w:tbl>
      <w:tblPr>
        <w:tblStyle w:val="Table"/>
        <w:tblW w:type="pct" w:w="0.0"/>
        <w:tblLook w:firstRow="1"/>
        <w:tblCaption w:val="Table 26: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66" w:name="X5baa7ff144c8c77704f50fac88258cfee81099b"/>
      <w:r>
        <w:t xml:space="preserve">NOM sampling in nested catchments (Chapter 3 results extended)</w:t>
      </w:r>
      <w:bookmarkEnd w:id="166"/>
    </w:p>
    <w:p>
      <w:pPr>
        <w:pStyle w:val="FirstParagraph"/>
      </w:pPr>
      <w:r>
        <w:t xml:space="preserve">Below the confluences of headwaters sites (Figure</w:t>
      </w:r>
      <w:r>
        <w:t xml:space="preserve"> </w:t>
      </w:r>
      <w:r>
        <w:t xml:space="preserve">34</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34</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4: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35</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5: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9"/>
      </w:pPr>
      <w:bookmarkStart w:id="169" w:name="e2e3-over-time"/>
      <w:r>
        <w:t xml:space="preserve">E</w:t>
      </w:r>
      <w:r>
        <w:rPr>
          <w:vertAlign w:val="subscript"/>
        </w:rPr>
        <w:t xml:space="preserve">2</w:t>
      </w:r>
      <w:r>
        <w:t xml:space="preserve">:E</w:t>
      </w:r>
      <w:r>
        <w:rPr>
          <w:vertAlign w:val="subscript"/>
        </w:rPr>
        <w:t xml:space="preserve">3</w:t>
      </w:r>
      <w:r>
        <w:t xml:space="preserve"> </w:t>
      </w:r>
      <w:r>
        <w:t xml:space="preserve">over time</w:t>
      </w:r>
      <w:bookmarkEnd w:id="169"/>
    </w:p>
    <w:p>
      <w:pPr>
        <w:pStyle w:val="FirstParagraph"/>
      </w:pPr>
      <w:r>
        <w:t xml:space="preserve">The spectral proxy for NOM aromaticity and molecular size was plotted over time in the same fashion as DOC in Chapter 3 (Figure</w:t>
      </w:r>
      <w:r>
        <w:t xml:space="preserve"> </w:t>
      </w:r>
      <w:r>
        <w:t xml:space="preserve">36</w:t>
      </w:r>
      <w:r>
        <w:t xml:space="preserve">).</w:t>
      </w:r>
    </w:p>
    <w:p>
      <w:pPr>
        <w:pStyle w:val="BodyText"/>
      </w:pPr>
      <w:r>
        <w:t xml:space="preserve"> </w:t>
      </w:r>
    </w:p>
    <w:p>
      <w:pPr>
        <w:pStyle w:val="CaptionedFigure"/>
      </w:pPr>
      <w:r>
        <w:drawing>
          <wp:inline>
            <wp:extent cx="5504749" cy="3669832"/>
            <wp:effectExtent b="0" l="0" r="0" t="0"/>
            <wp:docPr descr="Figure 3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p>
      <w:pPr>
        <w:pStyle w:val="Heading7"/>
      </w:pPr>
      <w:bookmarkStart w:id="171" w:name="random-forests-extended-background"/>
      <w:r>
        <w:t xml:space="preserve">Random Forests: extended background</w:t>
      </w:r>
      <w:bookmarkEnd w:id="171"/>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2" w:name="X47ec217527758d6ecd05db141ea92904689820c"/>
      <w:r>
        <w:t xml:space="preserve">Random Forests Variable Importance Measure (Chapter 4 results extended)</w:t>
      </w:r>
      <w:bookmarkEnd w:id="172"/>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37</w:t>
      </w:r>
      <w:r>
        <w:t xml:space="preserve"> </w:t>
      </w:r>
      <w:r>
        <w:t xml:space="preserve">and see how the relative rankings changed.</w:t>
      </w:r>
    </w:p>
    <w:p>
      <w:pPr>
        <w:pStyle w:val="CaptionedFigure"/>
      </w:pPr>
      <w:r>
        <w:drawing>
          <wp:inline>
            <wp:extent cx="5504749" cy="6880936"/>
            <wp:effectExtent b="0" l="0" r="0" t="0"/>
            <wp:docPr descr="Figure 37: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3"/>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37: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38</w:t>
      </w:r>
      <w:r>
        <w:t xml:space="preserve">).</w:t>
      </w:r>
    </w:p>
    <w:p>
      <w:pPr>
        <w:pStyle w:val="CaptionedFigure"/>
      </w:pPr>
      <w:r>
        <w:drawing>
          <wp:inline>
            <wp:extent cx="3669832" cy="3669832"/>
            <wp:effectExtent b="0" l="0" r="0" t="0"/>
            <wp:docPr descr="Figure 38: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 TRUE</w:t>
      </w:r>
    </w:p>
    <w:p>
      <w:pPr>
        <w:pStyle w:val="BodyText"/>
      </w:pPr>
      <w:r>
        <w:t xml:space="preserve"> </w:t>
      </w:r>
    </w:p>
    <w:p>
      <w:pPr>
        <w:pStyle w:val="BodyText"/>
      </w:pPr>
      <w:r>
        <w:t xml:space="preserve">30-day antecedent rain by site…(Figure</w:t>
      </w:r>
      <w:r>
        <w:t xml:space="preserve"> </w:t>
      </w:r>
      <w:r>
        <w:t xml:space="preserve">39</w:t>
      </w:r>
      <w:r>
        <w:t xml:space="preserve">)</w:t>
      </w:r>
    </w:p>
    <w:p>
      <w:pPr>
        <w:pStyle w:val="BodyText"/>
      </w:pPr>
      <w:r>
        <w:t xml:space="preserve"> </w:t>
      </w:r>
    </w:p>
    <w:p>
      <w:pPr>
        <w:pStyle w:val="CaptionedFigure"/>
      </w:pPr>
      <w:r>
        <w:drawing>
          <wp:inline>
            <wp:extent cx="5504749" cy="6422207"/>
            <wp:effectExtent b="0" l="0" r="0" t="0"/>
            <wp:docPr descr="Figure 3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5"/>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6" w:name="hysteresis-chapter-4-bonus"/>
      <w:r>
        <w:t xml:space="preserve">Hysteresis (Chapter 4 bonus)</w:t>
      </w:r>
      <w:bookmarkEnd w:id="176"/>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77" w:name="methods-hysteresis"/>
      <w:r>
        <w:t xml:space="preserve">Methods: Hysteresis</w:t>
      </w:r>
      <w:bookmarkEnd w:id="177"/>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78" w:name="Xc8fd82a3a84abeaae09fa5eefe790352814d51f"/>
      <w:r>
        <w:t xml:space="preserve">Results: Hysteresis of NOM with antecedent wetness</w:t>
      </w:r>
      <w:bookmarkEnd w:id="178"/>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40</w:t>
      </w:r>
      <w:r>
        <w:t xml:space="preserve">).</w:t>
      </w:r>
    </w:p>
    <w:p>
      <w:pPr>
        <w:pStyle w:val="BodyText"/>
      </w:pPr>
      <w:r>
        <w:t xml:space="preserve"> </w:t>
      </w:r>
    </w:p>
    <w:p>
      <w:pPr>
        <w:pStyle w:val="CaptionedFigure"/>
      </w:pPr>
      <w:r>
        <w:drawing>
          <wp:inline>
            <wp:extent cx="5504749" cy="5963478"/>
            <wp:effectExtent b="0" l="0" r="0" t="0"/>
            <wp:docPr descr="Figure 40: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79"/>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41</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41</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8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42</w:t>
      </w:r>
      <w:r>
        <w:t xml:space="preserve">).</w:t>
      </w:r>
    </w:p>
    <w:p>
      <w:pPr>
        <w:pStyle w:val="BodyText"/>
      </w:pPr>
      <w:r>
        <w:t xml:space="preserve"> </w:t>
      </w:r>
    </w:p>
    <w:p>
      <w:pPr>
        <w:pStyle w:val="CaptionedFigure"/>
      </w:pPr>
      <w:r>
        <w:drawing>
          <wp:inline>
            <wp:extent cx="3669832" cy="3669832"/>
            <wp:effectExtent b="0" l="0" r="0" t="0"/>
            <wp:docPr descr="Figure 42: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42: TRUE</w:t>
      </w:r>
    </w:p>
    <w:p>
      <w:pPr>
        <w:pStyle w:val="BodyText"/>
      </w:pPr>
      <w:r>
        <w:t xml:space="preserve"> </w:t>
      </w:r>
    </w:p>
    <w:bookmarkStart w:id="349" w:name="refs"/>
    <w:bookmarkStart w:id="18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2">
        <w:r>
          <w:rPr>
            <w:rStyle w:val="Hyperlink"/>
          </w:rPr>
          <w:t xml:space="preserve">https://doi.org/10.1111/ele.12897</w:t>
        </w:r>
      </w:hyperlink>
      <w:r>
        <w:t xml:space="preserve">.</w:t>
      </w:r>
    </w:p>
    <w:bookmarkEnd w:id="183"/>
    <w:bookmarkStart w:id="185"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4">
        <w:r>
          <w:rPr>
            <w:rStyle w:val="Hyperlink"/>
          </w:rPr>
          <w:t xml:space="preserve">https://doi.org/10.1002/2017WR021578</w:t>
        </w:r>
      </w:hyperlink>
      <w:r>
        <w:t xml:space="preserve">.</w:t>
      </w:r>
    </w:p>
    <w:bookmarkEnd w:id="185"/>
    <w:bookmarkStart w:id="187"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6">
        <w:r>
          <w:rPr>
            <w:rStyle w:val="Hyperlink"/>
          </w:rPr>
          <w:t xml:space="preserve">https://doi.org/10.1002/j.1551-8833.1995.tb06299.x</w:t>
        </w:r>
      </w:hyperlink>
      <w:r>
        <w:t xml:space="preserve">.</w:t>
      </w:r>
    </w:p>
    <w:bookmarkEnd w:id="187"/>
    <w:bookmarkStart w:id="189"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8">
        <w:r>
          <w:rPr>
            <w:rStyle w:val="Hyperlink"/>
          </w:rPr>
          <w:t xml:space="preserve">https://doi.org/10.1021/es103992s</w:t>
        </w:r>
      </w:hyperlink>
      <w:r>
        <w:t xml:space="preserve">.</w:t>
      </w:r>
    </w:p>
    <w:bookmarkEnd w:id="189"/>
    <w:bookmarkStart w:id="191"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0">
        <w:r>
          <w:rPr>
            <w:rStyle w:val="Hyperlink"/>
          </w:rPr>
          <w:t xml:space="preserve">https://doi.org/10.1016/j.jhydrol.2014.05.060</w:t>
        </w:r>
      </w:hyperlink>
      <w:r>
        <w:t xml:space="preserve">.</w:t>
      </w:r>
    </w:p>
    <w:bookmarkEnd w:id="191"/>
    <w:bookmarkStart w:id="193"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2">
        <w:r>
          <w:rPr>
            <w:rStyle w:val="Hyperlink"/>
          </w:rPr>
          <w:t xml:space="preserve">https://doi.org/10.1029/2007JG000674</w:t>
        </w:r>
      </w:hyperlink>
      <w:r>
        <w:t xml:space="preserve">.</w:t>
      </w:r>
    </w:p>
    <w:bookmarkEnd w:id="193"/>
    <w:bookmarkStart w:id="195"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4">
        <w:r>
          <w:rPr>
            <w:rStyle w:val="Hyperlink"/>
          </w:rPr>
          <w:t xml:space="preserve">http://www.standardmethods.org/</w:t>
        </w:r>
      </w:hyperlink>
      <w:r>
        <w:t xml:space="preserve">.</w:t>
      </w:r>
    </w:p>
    <w:bookmarkEnd w:id="195"/>
    <w:bookmarkStart w:id="197"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6">
        <w:r>
          <w:rPr>
            <w:rStyle w:val="Hyperlink"/>
          </w:rPr>
          <w:t xml:space="preserve">https://doi.org/10.2105/SMWW.2882.113</w:t>
        </w:r>
      </w:hyperlink>
      <w:r>
        <w:t xml:space="preserve">.</w:t>
      </w:r>
    </w:p>
    <w:bookmarkEnd w:id="197"/>
    <w:bookmarkStart w:id="199"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198">
        <w:r>
          <w:rPr>
            <w:rStyle w:val="Hyperlink"/>
          </w:rPr>
          <w:t xml:space="preserve">https://doi.org/10.1016/j.watres.2017.12.031</w:t>
        </w:r>
      </w:hyperlink>
      <w:r>
        <w:t xml:space="preserve">.</w:t>
      </w:r>
    </w:p>
    <w:bookmarkEnd w:id="199"/>
    <w:bookmarkStart w:id="20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0">
        <w:r>
          <w:rPr>
            <w:rStyle w:val="Hyperlink"/>
          </w:rPr>
          <w:t xml:space="preserve">https://doi.org/10.1007/s11749-016-0481-7</w:t>
        </w:r>
      </w:hyperlink>
      <w:r>
        <w:t xml:space="preserve">.</w:t>
      </w:r>
    </w:p>
    <w:bookmarkEnd w:id="201"/>
    <w:bookmarkStart w:id="20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2">
        <w:r>
          <w:rPr>
            <w:rStyle w:val="Hyperlink"/>
          </w:rPr>
          <w:t xml:space="preserve">https://doi.org/10.1201/9780367816377-11</w:t>
        </w:r>
      </w:hyperlink>
      <w:r>
        <w:t xml:space="preserve">.</w:t>
      </w:r>
    </w:p>
    <w:bookmarkEnd w:id="203"/>
    <w:bookmarkStart w:id="205" w:name="ref-BC2019"/>
    <w:p>
      <w:pPr>
        <w:pStyle w:val="Bibliography"/>
      </w:pPr>
      <w:r>
        <w:t xml:space="preserve">British Columbia Ministry of Environment. 2017. “BC Source Drinking Water Quality Guidelines: Guideline Summary.” Victoria, B.C.: Prov. B.C.</w:t>
      </w:r>
      <w:r>
        <w:t xml:space="preserve"> </w:t>
      </w:r>
      <w:hyperlink r:id="rId204">
        <w:r>
          <w:rPr>
            <w:rStyle w:val="Hyperlink"/>
          </w:rPr>
          <w:t xml:space="preserve">https://www2.gov.bc.ca/gov/content/governments/organizational-structure/ministries-organizations/ministries/environment-climate-change</w:t>
        </w:r>
      </w:hyperlink>
      <w:r>
        <w:t xml:space="preserve">.</w:t>
      </w:r>
    </w:p>
    <w:bookmarkEnd w:id="205"/>
    <w:bookmarkStart w:id="206" w:name="ref-CCME2004"/>
    <w:p>
      <w:pPr>
        <w:pStyle w:val="Bibliography"/>
      </w:pPr>
      <w:r>
        <w:t xml:space="preserve">Canadian Council of Ministers of the Environment. 2004. “From source to tap : guidance on the multi-barrier approach to safe drinking water.”</w:t>
      </w:r>
    </w:p>
    <w:bookmarkEnd w:id="206"/>
    <w:bookmarkStart w:id="208" w:name="ref-SoilScience2020"/>
    <w:p>
      <w:pPr>
        <w:pStyle w:val="Bibliography"/>
      </w:pPr>
      <w:r>
        <w:t xml:space="preserve">Canadian Society of Soil Science. 2020. “Soils of Canada.”</w:t>
      </w:r>
      <w:r>
        <w:t xml:space="preserve"> </w:t>
      </w:r>
      <w:hyperlink r:id="rId207">
        <w:r>
          <w:rPr>
            <w:rStyle w:val="Hyperlink"/>
          </w:rPr>
          <w:t xml:space="preserve">https://soilsofcanada.ca</w:t>
        </w:r>
      </w:hyperlink>
      <w:r>
        <w:t xml:space="preserve">.</w:t>
      </w:r>
    </w:p>
    <w:bookmarkEnd w:id="208"/>
    <w:bookmarkStart w:id="210" w:name="ref-CRD"/>
    <w:p>
      <w:pPr>
        <w:pStyle w:val="Bibliography"/>
      </w:pPr>
      <w:r>
        <w:t xml:space="preserve">Capital Regional District. 2015. “Facts and Figures for the Greater Victoria Water Supply Area.”</w:t>
      </w:r>
      <w:r>
        <w:t xml:space="preserve"> </w:t>
      </w:r>
      <w:hyperlink r:id="rId209">
        <w:r>
          <w:rPr>
            <w:rStyle w:val="Hyperlink"/>
          </w:rPr>
          <w:t xml:space="preserve">https://www.crd.bc.ca/service/public-tours/watershed-tours/facts-figures</w:t>
        </w:r>
      </w:hyperlink>
      <w:r>
        <w:t xml:space="preserve">.</w:t>
      </w:r>
    </w:p>
    <w:bookmarkEnd w:id="210"/>
    <w:bookmarkStart w:id="211"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1"/>
    <w:bookmarkStart w:id="21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2">
        <w:r>
          <w:rPr>
            <w:rStyle w:val="Hyperlink"/>
          </w:rPr>
          <w:t xml:space="preserve">https://doi.org/10.2166/aqua.2008.064</w:t>
        </w:r>
      </w:hyperlink>
      <w:r>
        <w:t xml:space="preserve">.</w:t>
      </w:r>
    </w:p>
    <w:bookmarkEnd w:id="213"/>
    <w:bookmarkStart w:id="215"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4">
        <w:r>
          <w:rPr>
            <w:rStyle w:val="Hyperlink"/>
          </w:rPr>
          <w:t xml:space="preserve">https://doi.org/10.1007/978-94-007-1363-5</w:t>
        </w:r>
      </w:hyperlink>
      <w:r>
        <w:t xml:space="preserve">.</w:t>
      </w:r>
    </w:p>
    <w:bookmarkEnd w:id="215"/>
    <w:bookmarkStart w:id="217" w:name="ref-CapitalRegionDistrict2017"/>
    <w:p>
      <w:pPr>
        <w:pStyle w:val="Bibliography"/>
      </w:pPr>
      <w:r>
        <w:t xml:space="preserve">CRD. 2017. “Regional Water Supply 2017 Strategic Plan.” Victoria, B.C.: Capital Region District, Integrated Water Services.</w:t>
      </w:r>
      <w:r>
        <w:t xml:space="preserve"> </w:t>
      </w:r>
      <w:hyperlink r:id="rId216">
        <w:r>
          <w:rPr>
            <w:rStyle w:val="Hyperlink"/>
          </w:rPr>
          <w:t xml:space="preserve">https://www.crd.bc.ca/project/past-capital-projects-and-initiatives/water-supply-plan</w:t>
        </w:r>
      </w:hyperlink>
      <w:r>
        <w:t xml:space="preserve">.</w:t>
      </w:r>
    </w:p>
    <w:bookmarkEnd w:id="217"/>
    <w:bookmarkStart w:id="219"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8">
        <w:r>
          <w:rPr>
            <w:rStyle w:val="Hyperlink"/>
          </w:rPr>
          <w:t xml:space="preserve">https://doi.org/IWSS-297445977-5079</w:t>
        </w:r>
      </w:hyperlink>
      <w:r>
        <w:t xml:space="preserve">.</w:t>
      </w:r>
    </w:p>
    <w:bookmarkEnd w:id="219"/>
    <w:bookmarkStart w:id="22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0">
        <w:r>
          <w:rPr>
            <w:rStyle w:val="Hyperlink"/>
          </w:rPr>
          <w:t xml:space="preserve">https://doi.org/10.1139/cjfas-2014-0400</w:t>
        </w:r>
      </w:hyperlink>
      <w:r>
        <w:t xml:space="preserve">.</w:t>
      </w:r>
    </w:p>
    <w:bookmarkEnd w:id="221"/>
    <w:bookmarkStart w:id="223"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2">
        <w:r>
          <w:rPr>
            <w:rStyle w:val="Hyperlink"/>
          </w:rPr>
          <w:t xml:space="preserve">https://doi.org/10.1016/B978-0-12-382092-1.00019-1</w:t>
        </w:r>
      </w:hyperlink>
      <w:r>
        <w:t xml:space="preserve">.</w:t>
      </w:r>
    </w:p>
    <w:bookmarkEnd w:id="223"/>
    <w:bookmarkStart w:id="22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4">
        <w:r>
          <w:rPr>
            <w:rStyle w:val="Hyperlink"/>
          </w:rPr>
          <w:t xml:space="preserve">https://doi.org/10.1016/j.watres.2016.08.031</w:t>
        </w:r>
      </w:hyperlink>
      <w:r>
        <w:t xml:space="preserve">.</w:t>
      </w:r>
    </w:p>
    <w:bookmarkEnd w:id="225"/>
    <w:bookmarkStart w:id="227" w:name="ref-Diehl2007"/>
    <w:p>
      <w:pPr>
        <w:pStyle w:val="Bibliography"/>
      </w:pPr>
      <w:r>
        <w:t xml:space="preserve">Diehl, Timothy H. 2007. “A Modified Siphon Sampler for Shallow Water.” U.S. Department of the Interior, U.S. Geological Survey.</w:t>
      </w:r>
      <w:r>
        <w:t xml:space="preserve"> </w:t>
      </w:r>
      <w:hyperlink r:id="rId226">
        <w:r>
          <w:rPr>
            <w:rStyle w:val="Hyperlink"/>
          </w:rPr>
          <w:t xml:space="preserve">https://pubs.er.usgs.gov/publication/sir20075282</w:t>
        </w:r>
      </w:hyperlink>
      <w:r>
        <w:t xml:space="preserve">.</w:t>
      </w:r>
    </w:p>
    <w:bookmarkEnd w:id="227"/>
    <w:bookmarkStart w:id="22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8">
        <w:r>
          <w:rPr>
            <w:rStyle w:val="Hyperlink"/>
          </w:rPr>
          <w:t xml:space="preserve">http://scholar.google.com/scholar?hl=en{\&amp;}btnG=Search{\&amp;}q=intitle:Running+Pure{\#}1</w:t>
        </w:r>
      </w:hyperlink>
      <w:r>
        <w:t xml:space="preserve">.</w:t>
      </w:r>
    </w:p>
    <w:bookmarkEnd w:id="229"/>
    <w:bookmarkStart w:id="23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0">
        <w:r>
          <w:rPr>
            <w:rStyle w:val="Hyperlink"/>
          </w:rPr>
          <w:t xml:space="preserve">https://doi.org/10.1016/j.watres.2010.08.051</w:t>
        </w:r>
      </w:hyperlink>
      <w:r>
        <w:t xml:space="preserve">.</w:t>
      </w:r>
    </w:p>
    <w:bookmarkEnd w:id="231"/>
    <w:bookmarkStart w:id="232" w:name="ref-Epps1994"/>
    <w:p>
      <w:pPr>
        <w:pStyle w:val="Bibliography"/>
      </w:pPr>
      <w:r>
        <w:t xml:space="preserve">Epps, Deborah Norine. 1994. “Factors Affecting Disinfection By-Products from Surface Source Waters on Vancouver Island.” Master of Science, University of Victoria.</w:t>
      </w:r>
    </w:p>
    <w:bookmarkEnd w:id="232"/>
    <w:bookmarkStart w:id="234"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3">
        <w:r>
          <w:rPr>
            <w:rStyle w:val="Hyperlink"/>
          </w:rPr>
          <w:t xml:space="preserve">https://doi.org/10.1002/(SICI)1099-1085(199903)13:4&lt;563::AID-HYP711&gt;3.0.CO;2-N</w:t>
        </w:r>
      </w:hyperlink>
      <w:r>
        <w:t xml:space="preserve">.</w:t>
      </w:r>
    </w:p>
    <w:bookmarkEnd w:id="234"/>
    <w:bookmarkStart w:id="236"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5">
        <w:r>
          <w:rPr>
            <w:rStyle w:val="Hyperlink"/>
          </w:rPr>
          <w:t xml:space="preserve">https://doi.org/10.1029/97WR01881</w:t>
        </w:r>
      </w:hyperlink>
      <w:r>
        <w:t xml:space="preserve">.</w:t>
      </w:r>
    </w:p>
    <w:bookmarkEnd w:id="236"/>
    <w:bookmarkStart w:id="238"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37">
        <w:r>
          <w:rPr>
            <w:rStyle w:val="Hyperlink"/>
          </w:rPr>
          <w:t xml:space="preserve">https://doi.org/10.1016/j.scitotenv.2007.11.027</w:t>
        </w:r>
      </w:hyperlink>
      <w:r>
        <w:t xml:space="preserve">.</w:t>
      </w:r>
    </w:p>
    <w:bookmarkEnd w:id="238"/>
    <w:bookmarkStart w:id="240" w:name="ref-SoilsCanada2018"/>
    <w:p>
      <w:pPr>
        <w:pStyle w:val="Bibliography"/>
      </w:pPr>
      <w:r>
        <w:t xml:space="preserve">Government of Canada. 2018. “Soils of British Columbia.”</w:t>
      </w:r>
      <w:r>
        <w:t xml:space="preserve"> </w:t>
      </w:r>
      <w:hyperlink r:id="rId239">
        <w:r>
          <w:rPr>
            <w:rStyle w:val="Hyperlink"/>
          </w:rPr>
          <w:t xml:space="preserve">http://sis.agr.gc.ca/cansis/soils/bc/soils.html</w:t>
        </w:r>
      </w:hyperlink>
      <w:r>
        <w:t xml:space="preserve">.</w:t>
      </w:r>
    </w:p>
    <w:bookmarkEnd w:id="240"/>
    <w:bookmarkStart w:id="24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1">
        <w:r>
          <w:rPr>
            <w:rStyle w:val="Hyperlink"/>
          </w:rPr>
          <w:t xml:space="preserve">https://doi.org/10.3133/fs06700</w:t>
        </w:r>
      </w:hyperlink>
      <w:r>
        <w:t xml:space="preserve">.</w:t>
      </w:r>
    </w:p>
    <w:bookmarkEnd w:id="242"/>
    <w:bookmarkStart w:id="243"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43"/>
    <w:bookmarkStart w:id="24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44">
        <w:r>
          <w:rPr>
            <w:rStyle w:val="Hyperlink"/>
          </w:rPr>
          <w:t xml:space="preserve">https://doi.org/10.13031/2013.15662</w:t>
        </w:r>
      </w:hyperlink>
      <w:r>
        <w:t xml:space="preserve">.</w:t>
      </w:r>
    </w:p>
    <w:bookmarkEnd w:id="245"/>
    <w:bookmarkStart w:id="247" w:name="ref-HealthCanada2019"/>
    <w:p>
      <w:pPr>
        <w:pStyle w:val="Bibliography"/>
      </w:pPr>
      <w:r>
        <w:t xml:space="preserve">Health Canada. 2019a. “Guidance on Natural Organic Matter in Drinking Water.”</w:t>
      </w:r>
      <w:r>
        <w:t xml:space="preserve"> </w:t>
      </w:r>
      <w:hyperlink r:id="rId246">
        <w:r>
          <w:rPr>
            <w:rStyle w:val="Hyperlink"/>
          </w:rPr>
          <w:t xml:space="preserve">https://www.canada.ca/content/dam/hc-sc/documents/programs/consultation-organic-matter-drinking-water/NOM20190129-eng.pdf</w:t>
        </w:r>
      </w:hyperlink>
      <w:r>
        <w:t xml:space="preserve">.</w:t>
      </w:r>
    </w:p>
    <w:bookmarkEnd w:id="247"/>
    <w:bookmarkStart w:id="24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8">
        <w:r>
          <w:rPr>
            <w:rStyle w:val="Hyperlink"/>
          </w:rPr>
          <w:t xml:space="preserve">https://www.canada.ca/content/dam/hc-sc/migration/hc-sc/ewh-semt/alt{\_}formats/pdf/pubs/water-eau/sum{\_}guide-res{\_}recom/summary-table-August-15-2019-eng.pdf</w:t>
        </w:r>
      </w:hyperlink>
      <w:r>
        <w:t xml:space="preserve">.</w:t>
      </w:r>
    </w:p>
    <w:bookmarkEnd w:id="249"/>
    <w:bookmarkStart w:id="251" w:name="ref-HealthCanada2006"/>
    <w:p>
      <w:pPr>
        <w:pStyle w:val="Bibliography"/>
      </w:pPr>
      <w:r>
        <w:t xml:space="preserve">HealthCanada. 2006. “Drinking Water Chlorination.”</w:t>
      </w:r>
      <w:r>
        <w:t xml:space="preserve"> </w:t>
      </w:r>
      <w:hyperlink r:id="rId250">
        <w:r>
          <w:rPr>
            <w:rStyle w:val="Hyperlink"/>
          </w:rPr>
          <w:t xml:space="preserve">https://www.canada.ca/en/health-canada/services/healthy-living/your-health/environment/drinking-water-chlorination.html</w:t>
        </w:r>
      </w:hyperlink>
      <w:r>
        <w:t xml:space="preserve">.</w:t>
      </w:r>
    </w:p>
    <w:bookmarkEnd w:id="251"/>
    <w:bookmarkStart w:id="253" w:name="ref-HealthLinkBC2018"/>
    <w:p>
      <w:pPr>
        <w:pStyle w:val="Bibliography"/>
      </w:pPr>
      <w:r>
        <w:t xml:space="preserve">HealthLinkBC. 2018. “Drinking Water Chlorination Facts.”</w:t>
      </w:r>
      <w:r>
        <w:t xml:space="preserve"> </w:t>
      </w:r>
      <w:hyperlink r:id="rId252">
        <w:r>
          <w:rPr>
            <w:rStyle w:val="Hyperlink"/>
          </w:rPr>
          <w:t xml:space="preserve">https://www.healthlinkbc.ca/healthlinkbc-files/drinking-water-chlorination</w:t>
        </w:r>
      </w:hyperlink>
      <w:r>
        <w:t xml:space="preserve">.</w:t>
      </w:r>
    </w:p>
    <w:bookmarkEnd w:id="253"/>
    <w:bookmarkStart w:id="25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54">
        <w:r>
          <w:rPr>
            <w:rStyle w:val="Hyperlink"/>
          </w:rPr>
          <w:t xml:space="preserve">https://www.jstor.org/stable/40058211</w:t>
        </w:r>
      </w:hyperlink>
      <w:r>
        <w:t xml:space="preserve">.</w:t>
      </w:r>
    </w:p>
    <w:bookmarkEnd w:id="255"/>
    <w:bookmarkStart w:id="25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56">
        <w:r>
          <w:rPr>
            <w:rStyle w:val="Hyperlink"/>
          </w:rPr>
          <w:t xml:space="preserve">https://doi.org/10.1029/2005JG000082</w:t>
        </w:r>
      </w:hyperlink>
      <w:r>
        <w:t xml:space="preserve">.</w:t>
      </w:r>
    </w:p>
    <w:bookmarkEnd w:id="257"/>
    <w:bookmarkStart w:id="25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8">
        <w:r>
          <w:rPr>
            <w:rStyle w:val="Hyperlink"/>
          </w:rPr>
          <w:t xml:space="preserve">https://doi.org/10.1002/j.1551-8833.1995.tb06302.x</w:t>
        </w:r>
      </w:hyperlink>
      <w:r>
        <w:t xml:space="preserve">.</w:t>
      </w:r>
    </w:p>
    <w:bookmarkEnd w:id="259"/>
    <w:bookmarkStart w:id="261"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0">
        <w:r>
          <w:rPr>
            <w:rStyle w:val="Hyperlink"/>
          </w:rPr>
          <w:t xml:space="preserve">https://doi.org/10.1017/CBO9781107415379.008</w:t>
        </w:r>
      </w:hyperlink>
      <w:r>
        <w:t xml:space="preserve">.</w:t>
      </w:r>
    </w:p>
    <w:bookmarkEnd w:id="261"/>
    <w:bookmarkStart w:id="26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2">
        <w:r>
          <w:rPr>
            <w:rStyle w:val="Hyperlink"/>
          </w:rPr>
          <w:t xml:space="preserve">https://doi.org/doi:10.1046/j.1365-2427.1997.d01-539.x</w:t>
        </w:r>
      </w:hyperlink>
      <w:r>
        <w:t xml:space="preserve">.</w:t>
      </w:r>
    </w:p>
    <w:bookmarkEnd w:id="263"/>
    <w:bookmarkStart w:id="265"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64">
        <w:r>
          <w:rPr>
            <w:rStyle w:val="Hyperlink"/>
          </w:rPr>
          <w:t xml:space="preserve">https://www.jstor.org/stable/41311011</w:t>
        </w:r>
      </w:hyperlink>
      <w:r>
        <w:t xml:space="preserve">.</w:t>
      </w:r>
    </w:p>
    <w:bookmarkEnd w:id="265"/>
    <w:bookmarkStart w:id="267"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66">
        <w:r>
          <w:rPr>
            <w:rStyle w:val="Hyperlink"/>
          </w:rPr>
          <w:t xml:space="preserve">https://doi.org/10.1002/j.1551-8833.2002.tb10250.x</w:t>
        </w:r>
      </w:hyperlink>
      <w:r>
        <w:t xml:space="preserve">.</w:t>
      </w:r>
    </w:p>
    <w:bookmarkEnd w:id="267"/>
    <w:bookmarkStart w:id="269"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68">
        <w:r>
          <w:rPr>
            <w:rStyle w:val="Hyperlink"/>
          </w:rPr>
          <w:t xml:space="preserve">https://doi.org/10.1021/acs.est.7b05513</w:t>
        </w:r>
      </w:hyperlink>
      <w:r>
        <w:t xml:space="preserve">.</w:t>
      </w:r>
    </w:p>
    <w:bookmarkEnd w:id="269"/>
    <w:bookmarkStart w:id="27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70">
        <w:r>
          <w:rPr>
            <w:rStyle w:val="Hyperlink"/>
          </w:rPr>
          <w:t xml:space="preserve">https://doi.org/10.1029/2005WR004362</w:t>
        </w:r>
      </w:hyperlink>
      <w:r>
        <w:t xml:space="preserve">.</w:t>
      </w:r>
    </w:p>
    <w:bookmarkEnd w:id="271"/>
    <w:bookmarkStart w:id="27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72">
        <w:r>
          <w:rPr>
            <w:rStyle w:val="Hyperlink"/>
          </w:rPr>
          <w:t xml:space="preserve">https://doi.org/10.5194/bg-11-3043-2014</w:t>
        </w:r>
      </w:hyperlink>
      <w:r>
        <w:t xml:space="preserve">.</w:t>
      </w:r>
    </w:p>
    <w:bookmarkEnd w:id="273"/>
    <w:bookmarkStart w:id="275"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74">
        <w:r>
          <w:rPr>
            <w:rStyle w:val="Hyperlink"/>
          </w:rPr>
          <w:t xml:space="preserve">https://doi.org/10.1002/hyp.9686</w:t>
        </w:r>
      </w:hyperlink>
      <w:r>
        <w:t xml:space="preserve">.</w:t>
      </w:r>
    </w:p>
    <w:bookmarkEnd w:id="275"/>
    <w:bookmarkStart w:id="27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76">
        <w:r>
          <w:rPr>
            <w:rStyle w:val="Hyperlink"/>
          </w:rPr>
          <w:t xml:space="preserve">https://archive.org/details/metaltransportre00lazeuoft/mode/2up</w:t>
        </w:r>
      </w:hyperlink>
      <w:r>
        <w:t xml:space="preserve">.</w:t>
      </w:r>
    </w:p>
    <w:bookmarkEnd w:id="277"/>
    <w:bookmarkStart w:id="279"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78">
        <w:r>
          <w:rPr>
            <w:rStyle w:val="Hyperlink"/>
          </w:rPr>
          <w:t xml:space="preserve">https://doi.org/10.2166/wcc.2016.011</w:t>
        </w:r>
      </w:hyperlink>
      <w:r>
        <w:t xml:space="preserve">.</w:t>
      </w:r>
    </w:p>
    <w:bookmarkEnd w:id="279"/>
    <w:bookmarkStart w:id="28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80">
        <w:r>
          <w:rPr>
            <w:rStyle w:val="Hyperlink"/>
          </w:rPr>
          <w:t xml:space="preserve">https://doi.org/10.1016/j.jhazmat.2014.02.009</w:t>
        </w:r>
      </w:hyperlink>
      <w:r>
        <w:t xml:space="preserve">.</w:t>
      </w:r>
    </w:p>
    <w:bookmarkEnd w:id="281"/>
    <w:bookmarkStart w:id="283" w:name="ref-Liaw2018"/>
    <w:p>
      <w:pPr>
        <w:pStyle w:val="Bibliography"/>
      </w:pPr>
      <w:r>
        <w:t xml:space="preserve">Liaw, Andy, and Matthew Wiener. 2018. “randomForest: Breiman and Cutler’s Random Forests for Classification and Regression.” CRAN.</w:t>
      </w:r>
      <w:r>
        <w:t xml:space="preserve"> </w:t>
      </w:r>
      <w:hyperlink r:id="rId282">
        <w:r>
          <w:rPr>
            <w:rStyle w:val="Hyperlink"/>
          </w:rPr>
          <w:t xml:space="preserve">https://doi.org/10.1023/A:1010933404324</w:t>
        </w:r>
      </w:hyperlink>
      <w:r>
        <w:t xml:space="preserve">.</w:t>
      </w:r>
    </w:p>
    <w:bookmarkEnd w:id="283"/>
    <w:bookmarkStart w:id="28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84">
        <w:r>
          <w:rPr>
            <w:rStyle w:val="Hyperlink"/>
          </w:rPr>
          <w:t xml:space="preserve">https://doi.org/10.1002/rra.1504</w:t>
        </w:r>
      </w:hyperlink>
      <w:r>
        <w:t xml:space="preserve">.</w:t>
      </w:r>
    </w:p>
    <w:bookmarkEnd w:id="285"/>
    <w:bookmarkStart w:id="28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86">
        <w:r>
          <w:rPr>
            <w:rStyle w:val="Hyperlink"/>
          </w:rPr>
          <w:t xml:space="preserve">https://doi.org/10.1016/j.chemosphere.2011.01.018</w:t>
        </w:r>
      </w:hyperlink>
      <w:r>
        <w:t xml:space="preserve">.</w:t>
      </w:r>
    </w:p>
    <w:bookmarkEnd w:id="287"/>
    <w:bookmarkStart w:id="28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88">
        <w:r>
          <w:rPr>
            <w:rStyle w:val="Hyperlink"/>
          </w:rPr>
          <w:t xml:space="preserve">https://doi.org/10.1016/j.cis.2010.06.007</w:t>
        </w:r>
      </w:hyperlink>
      <w:r>
        <w:t xml:space="preserve">.</w:t>
      </w:r>
    </w:p>
    <w:bookmarkEnd w:id="289"/>
    <w:bookmarkStart w:id="291"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90">
        <w:r>
          <w:rPr>
            <w:rStyle w:val="Hyperlink"/>
          </w:rPr>
          <w:t xml:space="preserve">https://doi.org/10.1007/s10533-018-0482-6</w:t>
        </w:r>
      </w:hyperlink>
      <w:r>
        <w:t xml:space="preserve">.</w:t>
      </w:r>
    </w:p>
    <w:bookmarkEnd w:id="291"/>
    <w:bookmarkStart w:id="29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92">
        <w:r>
          <w:rPr>
            <w:rStyle w:val="Hyperlink"/>
          </w:rPr>
          <w:t xml:space="preserve">https://www.jstor.org/stable/1937326</w:t>
        </w:r>
      </w:hyperlink>
      <w:r>
        <w:t xml:space="preserve">.</w:t>
      </w:r>
    </w:p>
    <w:bookmarkEnd w:id="293"/>
    <w:bookmarkStart w:id="295"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94">
        <w:r>
          <w:rPr>
            <w:rStyle w:val="Hyperlink"/>
          </w:rPr>
          <w:t xml:space="preserve">https://doi.org/10.14288/1.0387350</w:t>
        </w:r>
      </w:hyperlink>
      <w:r>
        <w:t xml:space="preserve">.</w:t>
      </w:r>
    </w:p>
    <w:bookmarkEnd w:id="295"/>
    <w:bookmarkStart w:id="29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96">
        <w:r>
          <w:rPr>
            <w:rStyle w:val="Hyperlink"/>
          </w:rPr>
          <w:t xml:space="preserve">https://doi.org/10.1007/s10533-015-0103-6</w:t>
        </w:r>
      </w:hyperlink>
      <w:r>
        <w:t xml:space="preserve">.</w:t>
      </w:r>
    </w:p>
    <w:bookmarkEnd w:id="297"/>
    <w:bookmarkStart w:id="299"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298">
        <w:r>
          <w:rPr>
            <w:rStyle w:val="Hyperlink"/>
          </w:rPr>
          <w:t xml:space="preserve">https://doi.org/10.1016/J.JHYDROL.2018.09.011</w:t>
        </w:r>
      </w:hyperlink>
      <w:r>
        <w:t xml:space="preserve">.</w:t>
      </w:r>
    </w:p>
    <w:bookmarkEnd w:id="299"/>
    <w:bookmarkStart w:id="301"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00">
        <w:r>
          <w:rPr>
            <w:rStyle w:val="Hyperlink"/>
          </w:rPr>
          <w:t xml:space="preserve">https://doi.org/10.1016/j.advwatres.2015.09.026</w:t>
        </w:r>
      </w:hyperlink>
      <w:r>
        <w:t xml:space="preserve">.</w:t>
      </w:r>
    </w:p>
    <w:bookmarkEnd w:id="301"/>
    <w:bookmarkStart w:id="30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02">
        <w:r>
          <w:rPr>
            <w:rStyle w:val="Hyperlink"/>
          </w:rPr>
          <w:t xml:space="preserve">http://hdl.handle.net/1885/40940</w:t>
        </w:r>
      </w:hyperlink>
      <w:r>
        <w:t xml:space="preserve">.</w:t>
      </w:r>
    </w:p>
    <w:bookmarkEnd w:id="303"/>
    <w:bookmarkStart w:id="305"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04">
        <w:r>
          <w:rPr>
            <w:rStyle w:val="Hyperlink"/>
          </w:rPr>
          <w:t xml:space="preserve">https://doi.org/10.5194/bg-14-3743-2017</w:t>
        </w:r>
      </w:hyperlink>
      <w:r>
        <w:t xml:space="preserve">.</w:t>
      </w:r>
    </w:p>
    <w:bookmarkEnd w:id="305"/>
    <w:bookmarkStart w:id="307"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06">
        <w:r>
          <w:rPr>
            <w:rStyle w:val="Hyperlink"/>
          </w:rPr>
          <w:t xml:space="preserve">https://doi.org/10.5194/bg-10-2315-2013</w:t>
        </w:r>
      </w:hyperlink>
      <w:r>
        <w:t xml:space="preserve">.</w:t>
      </w:r>
    </w:p>
    <w:bookmarkEnd w:id="307"/>
    <w:bookmarkStart w:id="309"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08">
        <w:r>
          <w:rPr>
            <w:rStyle w:val="Hyperlink"/>
          </w:rPr>
          <w:t xml:space="preserve">http://www.jstor.com/stable/41295152</w:t>
        </w:r>
      </w:hyperlink>
      <w:r>
        <w:t xml:space="preserve">.</w:t>
      </w:r>
    </w:p>
    <w:bookmarkEnd w:id="309"/>
    <w:bookmarkStart w:id="311"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10">
        <w:r>
          <w:rPr>
            <w:rStyle w:val="Hyperlink"/>
          </w:rPr>
          <w:t xml:space="preserve">https://doi.org/10.1007/s11270-013-1651-9</w:t>
        </w:r>
      </w:hyperlink>
      <w:r>
        <w:t xml:space="preserve">.</w:t>
      </w:r>
    </w:p>
    <w:bookmarkEnd w:id="311"/>
    <w:bookmarkStart w:id="313"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12">
        <w:r>
          <w:rPr>
            <w:rStyle w:val="Hyperlink"/>
          </w:rPr>
          <w:t xml:space="preserve">https://doi.org/10.1002/wat2.1367</w:t>
        </w:r>
      </w:hyperlink>
      <w:r>
        <w:t xml:space="preserve">.</w:t>
      </w:r>
    </w:p>
    <w:bookmarkEnd w:id="313"/>
    <w:bookmarkStart w:id="31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14">
        <w:r>
          <w:rPr>
            <w:rStyle w:val="Hyperlink"/>
          </w:rPr>
          <w:t xml:space="preserve">https://doi.org/10.1016/S0003-2670(96)00412-6</w:t>
        </w:r>
      </w:hyperlink>
      <w:r>
        <w:t xml:space="preserve">.</w:t>
      </w:r>
    </w:p>
    <w:bookmarkEnd w:id="315"/>
    <w:bookmarkStart w:id="31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16">
        <w:r>
          <w:rPr>
            <w:rStyle w:val="Hyperlink"/>
          </w:rPr>
          <w:t xml:space="preserve">https://www.for.gov.bc.ca/hfd/pubs/docs/lmh/Lmh66/LMH66{\_}volume2of2.pdf</w:t>
        </w:r>
      </w:hyperlink>
      <w:r>
        <w:t xml:space="preserve">.</w:t>
      </w:r>
    </w:p>
    <w:bookmarkEnd w:id="317"/>
    <w:bookmarkStart w:id="319"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18">
        <w:r>
          <w:rPr>
            <w:rStyle w:val="Hyperlink"/>
          </w:rPr>
          <w:t xml:space="preserve">https://doi.org/10.1086/680682</w:t>
        </w:r>
      </w:hyperlink>
      <w:r>
        <w:t xml:space="preserve">.</w:t>
      </w:r>
    </w:p>
    <w:bookmarkEnd w:id="319"/>
    <w:bookmarkStart w:id="320"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320"/>
    <w:bookmarkStart w:id="322"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21">
        <w:r>
          <w:rPr>
            <w:rStyle w:val="Hyperlink"/>
          </w:rPr>
          <w:t xml:space="preserve">https://doi.org/10.1007/sl0533-010-9416-7</w:t>
        </w:r>
      </w:hyperlink>
      <w:r>
        <w:t xml:space="preserve">.</w:t>
      </w:r>
    </w:p>
    <w:bookmarkEnd w:id="322"/>
    <w:bookmarkStart w:id="324"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23">
        <w:r>
          <w:rPr>
            <w:rStyle w:val="Hyperlink"/>
          </w:rPr>
          <w:t xml:space="preserve">https://www.jstor.org/stable/24702986</w:t>
        </w:r>
      </w:hyperlink>
      <w:r>
        <w:t xml:space="preserve">.</w:t>
      </w:r>
    </w:p>
    <w:bookmarkEnd w:id="324"/>
    <w:bookmarkStart w:id="326"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25">
        <w:r>
          <w:rPr>
            <w:rStyle w:val="Hyperlink"/>
          </w:rPr>
          <w:t xml:space="preserve">https://doi.org/10.1016/j.scitotenv.2016.09.113</w:t>
        </w:r>
      </w:hyperlink>
      <w:r>
        <w:t xml:space="preserve">.</w:t>
      </w:r>
    </w:p>
    <w:bookmarkEnd w:id="326"/>
    <w:bookmarkStart w:id="328"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27">
        <w:r>
          <w:rPr>
            <w:rStyle w:val="Hyperlink"/>
          </w:rPr>
          <w:t xml:space="preserve">https://doi.org/10.1111/j.1365-2427.2011.02613.x</w:t>
        </w:r>
      </w:hyperlink>
      <w:r>
        <w:t xml:space="preserve">.</w:t>
      </w:r>
    </w:p>
    <w:bookmarkEnd w:id="328"/>
    <w:bookmarkStart w:id="330"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29">
        <w:r>
          <w:rPr>
            <w:rStyle w:val="Hyperlink"/>
          </w:rPr>
          <w:t xml:space="preserve">https://doi.org/10.1186/1471-2105-9-307</w:t>
        </w:r>
      </w:hyperlink>
      <w:r>
        <w:t xml:space="preserve">.</w:t>
      </w:r>
    </w:p>
    <w:bookmarkEnd w:id="330"/>
    <w:bookmarkStart w:id="332"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31">
        <w:r>
          <w:rPr>
            <w:rStyle w:val="Hyperlink"/>
          </w:rPr>
          <w:t xml:space="preserve">https://doi.org/10.1037/a0016973</w:t>
        </w:r>
      </w:hyperlink>
      <w:r>
        <w:t xml:space="preserve">.</w:t>
      </w:r>
    </w:p>
    <w:bookmarkEnd w:id="332"/>
    <w:bookmarkStart w:id="334"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33">
        <w:r>
          <w:rPr>
            <w:rStyle w:val="Hyperlink"/>
          </w:rPr>
          <w:t xml:space="preserve">https://doi.org/10.1016/j.jenvman.2007.03.001</w:t>
        </w:r>
      </w:hyperlink>
      <w:r>
        <w:t xml:space="preserve">.</w:t>
      </w:r>
    </w:p>
    <w:bookmarkEnd w:id="334"/>
    <w:bookmarkStart w:id="336"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35">
        <w:r>
          <w:rPr>
            <w:rStyle w:val="Hyperlink"/>
          </w:rPr>
          <w:t xml:space="preserve">https://doi.org/10.3390</w:t>
        </w:r>
      </w:hyperlink>
      <w:r>
        <w:t xml:space="preserve">.</w:t>
      </w:r>
    </w:p>
    <w:bookmarkEnd w:id="336"/>
    <w:bookmarkStart w:id="337"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37"/>
    <w:bookmarkStart w:id="338"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38"/>
    <w:bookmarkStart w:id="340"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39">
        <w:r>
          <w:rPr>
            <w:rStyle w:val="Hyperlink"/>
          </w:rPr>
          <w:t xml:space="preserve">https://doi.org/10.1007/s10533-019-00561-w</w:t>
        </w:r>
      </w:hyperlink>
      <w:r>
        <w:t xml:space="preserve">.</w:t>
      </w:r>
    </w:p>
    <w:bookmarkEnd w:id="340"/>
    <w:bookmarkStart w:id="342"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41">
        <w:r>
          <w:rPr>
            <w:rStyle w:val="Hyperlink"/>
          </w:rPr>
          <w:t xml:space="preserve">https://doi.org/10.1007/s10533-008-9207-6</w:t>
        </w:r>
      </w:hyperlink>
      <w:r>
        <w:t xml:space="preserve">.</w:t>
      </w:r>
    </w:p>
    <w:bookmarkEnd w:id="342"/>
    <w:bookmarkStart w:id="344"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43">
        <w:r>
          <w:rPr>
            <w:rStyle w:val="Hyperlink"/>
          </w:rPr>
          <w:t xml:space="preserve">https://doi.org/10.1021/es030360x</w:t>
        </w:r>
      </w:hyperlink>
      <w:r>
        <w:t xml:space="preserve">.</w:t>
      </w:r>
    </w:p>
    <w:bookmarkEnd w:id="344"/>
    <w:bookmarkStart w:id="346"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45">
        <w:r>
          <w:rPr>
            <w:rStyle w:val="Hyperlink"/>
          </w:rPr>
          <w:t xml:space="preserve">https://doi.org/10.1007/s11356-015-4078-6</w:t>
        </w:r>
      </w:hyperlink>
      <w:r>
        <w:t xml:space="preserve">.</w:t>
      </w:r>
    </w:p>
    <w:bookmarkEnd w:id="346"/>
    <w:bookmarkStart w:id="348"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47">
        <w:r>
          <w:rPr>
            <w:rStyle w:val="Hyperlink"/>
          </w:rPr>
          <w:t xml:space="preserve">https://doi.org/10.1029/2018GL080005</w:t>
        </w:r>
      </w:hyperlink>
      <w:r>
        <w:t xml:space="preserve">.</w:t>
      </w:r>
    </w:p>
    <w:bookmarkEnd w:id="348"/>
    <w:bookmarkEnd w:id="349"/>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6" Target="media/rId146.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74" Target="media/rId174.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181" Target="media/rId181.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75" Target="media/rId175.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1" Target="media/rId101.pn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2" Target="media/rId152.png" /><Relationship Type="http://schemas.openxmlformats.org/officeDocument/2006/relationships/image" Id="rId162" Target="media/rId162.png" /><Relationship Type="http://schemas.openxmlformats.org/officeDocument/2006/relationships/image" Id="rId123" Target="media/rId123.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hyperlink" Id="rId302" Target="http://hdl.handle.net/1885/40940" TargetMode="External" /><Relationship Type="http://schemas.openxmlformats.org/officeDocument/2006/relationships/hyperlink" Id="rId228" Target="http://scholar.google.com/scholar?hl=en%7B\&amp;%7DbtnG=Search%7B\&amp;%7Dq=intitle:Running+Pure%7B\#%7D1" TargetMode="External" /><Relationship Type="http://schemas.openxmlformats.org/officeDocument/2006/relationships/hyperlink" Id="rId239" Target="http://sis.agr.gc.ca/cansis/soils/bc/soils.html" TargetMode="External" /><Relationship Type="http://schemas.openxmlformats.org/officeDocument/2006/relationships/hyperlink" Id="rId308"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76" Target="https://archive.org/details/metaltransportre00lazeuoft/mode/2up" TargetMode="External" /><Relationship Type="http://schemas.openxmlformats.org/officeDocument/2006/relationships/hyperlink" Id="rId233"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274" Target="https://doi.org/10.1002/hyp.9686" TargetMode="External" /><Relationship Type="http://schemas.openxmlformats.org/officeDocument/2006/relationships/hyperlink" Id="rId186" Target="https://doi.org/10.1002/j.1551-8833.1995.tb06299.x" TargetMode="External" /><Relationship Type="http://schemas.openxmlformats.org/officeDocument/2006/relationships/hyperlink" Id="rId258" Target="https://doi.org/10.1002/j.1551-8833.1995.tb06302.x" TargetMode="External" /><Relationship Type="http://schemas.openxmlformats.org/officeDocument/2006/relationships/hyperlink" Id="rId266" Target="https://doi.org/10.1002/j.1551-8833.2002.tb10250.x" TargetMode="External" /><Relationship Type="http://schemas.openxmlformats.org/officeDocument/2006/relationships/hyperlink" Id="rId284" Target="https://doi.org/10.1002/rra.1504" TargetMode="External" /><Relationship Type="http://schemas.openxmlformats.org/officeDocument/2006/relationships/hyperlink" Id="rId312" Target="https://doi.org/10.1002/wat2.1367" TargetMode="External" /><Relationship Type="http://schemas.openxmlformats.org/officeDocument/2006/relationships/hyperlink" Id="rId214" Target="https://doi.org/10.1007/978-94-007-1363-5" TargetMode="External" /><Relationship Type="http://schemas.openxmlformats.org/officeDocument/2006/relationships/hyperlink" Id="rId341" Target="https://doi.org/10.1007/s10533-008-9207-6" TargetMode="External" /><Relationship Type="http://schemas.openxmlformats.org/officeDocument/2006/relationships/hyperlink" Id="rId296" Target="https://doi.org/10.1007/s10533-015-0103-6" TargetMode="External" /><Relationship Type="http://schemas.openxmlformats.org/officeDocument/2006/relationships/hyperlink" Id="rId290" Target="https://doi.org/10.1007/s10533-018-0482-6" TargetMode="External" /><Relationship Type="http://schemas.openxmlformats.org/officeDocument/2006/relationships/hyperlink" Id="rId339" Target="https://doi.org/10.1007/s10533-019-00561-w" TargetMode="External" /><Relationship Type="http://schemas.openxmlformats.org/officeDocument/2006/relationships/hyperlink" Id="rId310" Target="https://doi.org/10.1007/s11270-013-1651-9" TargetMode="External" /><Relationship Type="http://schemas.openxmlformats.org/officeDocument/2006/relationships/hyperlink" Id="rId345" Target="https://doi.org/10.1007/s11356-015-4078-6" TargetMode="External" /><Relationship Type="http://schemas.openxmlformats.org/officeDocument/2006/relationships/hyperlink" Id="rId200" Target="https://doi.org/10.1007/s11749-016-0481-7" TargetMode="External" /><Relationship Type="http://schemas.openxmlformats.org/officeDocument/2006/relationships/hyperlink" Id="rId321" Target="https://doi.org/10.1007/sl0533-010-9416-7" TargetMode="External" /><Relationship Type="http://schemas.openxmlformats.org/officeDocument/2006/relationships/hyperlink" Id="rId222" Target="https://doi.org/10.1016/B978-0-12-382092-1.00019-1" TargetMode="External" /><Relationship Type="http://schemas.openxmlformats.org/officeDocument/2006/relationships/hyperlink" Id="rId298" Target="https://doi.org/10.1016/J.JHYDROL.2018.09.011" TargetMode="External" /><Relationship Type="http://schemas.openxmlformats.org/officeDocument/2006/relationships/hyperlink" Id="rId314" Target="https://doi.org/10.1016/S0003-2670(96)00412-6" TargetMode="External" /><Relationship Type="http://schemas.openxmlformats.org/officeDocument/2006/relationships/hyperlink" Id="rId300" Target="https://doi.org/10.1016/j.advwatres.2015.09.026" TargetMode="External" /><Relationship Type="http://schemas.openxmlformats.org/officeDocument/2006/relationships/hyperlink" Id="rId286" Target="https://doi.org/10.1016/j.chemosphere.2011.01.018" TargetMode="External" /><Relationship Type="http://schemas.openxmlformats.org/officeDocument/2006/relationships/hyperlink" Id="rId288" Target="https://doi.org/10.1016/j.cis.2010.06.007" TargetMode="External" /><Relationship Type="http://schemas.openxmlformats.org/officeDocument/2006/relationships/hyperlink" Id="rId333" Target="https://doi.org/10.1016/j.jenvman.2007.03.001" TargetMode="External" /><Relationship Type="http://schemas.openxmlformats.org/officeDocument/2006/relationships/hyperlink" Id="rId280"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237" Target="https://doi.org/10.1016/j.scitotenv.2007.11.027" TargetMode="External" /><Relationship Type="http://schemas.openxmlformats.org/officeDocument/2006/relationships/hyperlink" Id="rId325" Target="https://doi.org/10.1016/j.scitotenv.2016.09.113" TargetMode="External" /><Relationship Type="http://schemas.openxmlformats.org/officeDocument/2006/relationships/hyperlink" Id="rId230" Target="https://doi.org/10.1016/j.watres.2010.08.051" TargetMode="External" /><Relationship Type="http://schemas.openxmlformats.org/officeDocument/2006/relationships/hyperlink" Id="rId224" Target="https://doi.org/10.1016/j.watres.2016.08.031" TargetMode="External" /><Relationship Type="http://schemas.openxmlformats.org/officeDocument/2006/relationships/hyperlink" Id="rId198" Target="https://doi.org/10.1016/j.watres.2017.12.031" TargetMode="External" /><Relationship Type="http://schemas.openxmlformats.org/officeDocument/2006/relationships/hyperlink" Id="rId260" Target="https://doi.org/10.1017/CBO9781107415379.008" TargetMode="External" /><Relationship Type="http://schemas.openxmlformats.org/officeDocument/2006/relationships/hyperlink" Id="rId268" Target="https://doi.org/10.1021/acs.est.7b05513" TargetMode="External" /><Relationship Type="http://schemas.openxmlformats.org/officeDocument/2006/relationships/hyperlink" Id="rId343"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82" Target="https://doi.org/10.1023/A:1010933404324" TargetMode="External" /><Relationship Type="http://schemas.openxmlformats.org/officeDocument/2006/relationships/hyperlink" Id="rId256" Target="https://doi.org/10.1029/2005JG000082" TargetMode="External" /><Relationship Type="http://schemas.openxmlformats.org/officeDocument/2006/relationships/hyperlink" Id="rId270"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47" Target="https://doi.org/10.1029/2018GL080005" TargetMode="External" /><Relationship Type="http://schemas.openxmlformats.org/officeDocument/2006/relationships/hyperlink" Id="rId235" Target="https://doi.org/10.1029/97WR01881" TargetMode="External" /><Relationship Type="http://schemas.openxmlformats.org/officeDocument/2006/relationships/hyperlink" Id="rId331" Target="https://doi.org/10.1037/a0016973" TargetMode="External" /><Relationship Type="http://schemas.openxmlformats.org/officeDocument/2006/relationships/hyperlink" Id="rId318" Target="https://doi.org/10.1086/680682" TargetMode="External" /><Relationship Type="http://schemas.openxmlformats.org/officeDocument/2006/relationships/hyperlink" Id="rId182" Target="https://doi.org/10.1111/ele.12897" TargetMode="External" /><Relationship Type="http://schemas.openxmlformats.org/officeDocument/2006/relationships/hyperlink" Id="rId327" Target="https://doi.org/10.1111/j.1365-2427.2011.02613.x" TargetMode="External" /><Relationship Type="http://schemas.openxmlformats.org/officeDocument/2006/relationships/hyperlink" Id="rId220" Target="https://doi.org/10.1139/cjfas-2014-0400" TargetMode="External" /><Relationship Type="http://schemas.openxmlformats.org/officeDocument/2006/relationships/hyperlink" Id="rId329" Target="https://doi.org/10.1186/1471-2105-9-307" TargetMode="External" /><Relationship Type="http://schemas.openxmlformats.org/officeDocument/2006/relationships/hyperlink" Id="rId202" Target="https://doi.org/10.1201/9780367816377-11" TargetMode="External" /><Relationship Type="http://schemas.openxmlformats.org/officeDocument/2006/relationships/hyperlink" Id="rId244" Target="https://doi.org/10.13031/2013.15662" TargetMode="External" /><Relationship Type="http://schemas.openxmlformats.org/officeDocument/2006/relationships/hyperlink" Id="rId294"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2" Target="https://doi.org/10.2166/aqua.2008.064" TargetMode="External" /><Relationship Type="http://schemas.openxmlformats.org/officeDocument/2006/relationships/hyperlink" Id="rId278" Target="https://doi.org/10.2166/wcc.2016.011" TargetMode="External" /><Relationship Type="http://schemas.openxmlformats.org/officeDocument/2006/relationships/hyperlink" Id="rId241" Target="https://doi.org/10.3133/fs06700" TargetMode="External" /><Relationship Type="http://schemas.openxmlformats.org/officeDocument/2006/relationships/hyperlink" Id="rId335" Target="https://doi.org/10.3390" TargetMode="External" /><Relationship Type="http://schemas.openxmlformats.org/officeDocument/2006/relationships/hyperlink" Id="rId306" Target="https://doi.org/10.5194/bg-10-2315-2013" TargetMode="External" /><Relationship Type="http://schemas.openxmlformats.org/officeDocument/2006/relationships/hyperlink" Id="rId272" Target="https://doi.org/10.5194/bg-11-3043-2014" TargetMode="External" /><Relationship Type="http://schemas.openxmlformats.org/officeDocument/2006/relationships/hyperlink" Id="rId304" Target="https://doi.org/10.5194/bg-14-3743-2017" TargetMode="External" /><Relationship Type="http://schemas.openxmlformats.org/officeDocument/2006/relationships/hyperlink" Id="rId218" Target="https://doi.org/IWSS-297445977-5079" TargetMode="External" /><Relationship Type="http://schemas.openxmlformats.org/officeDocument/2006/relationships/hyperlink" Id="rId262" Target="https://doi.org/doi:10.1046/j.1365-2427.1997.d01-539.x" TargetMode="External" /><Relationship Type="http://schemas.openxmlformats.org/officeDocument/2006/relationships/hyperlink" Id="rId226" Target="https://pubs.er.usgs.gov/publication/sir20075282" TargetMode="External" /><Relationship Type="http://schemas.openxmlformats.org/officeDocument/2006/relationships/hyperlink" Id="rId207" Target="https://soilsofcanada.ca" TargetMode="External" /><Relationship Type="http://schemas.openxmlformats.org/officeDocument/2006/relationships/hyperlink" Id="rId246" Target="https://www.canada.ca/content/dam/hc-sc/documents/programs/consultation-organic-matter-drinking-water/NOM20190129-eng.pdf" TargetMode="External" /><Relationship Type="http://schemas.openxmlformats.org/officeDocument/2006/relationships/hyperlink" Id="rId248" Target="https://www.canada.ca/content/dam/hc-sc/migration/hc-sc/ewh-semt/alt%7B\_%7Dformats/pdf/pubs/water-eau/sum%7B\_%7Dguide-res%7B\_%7Drecom/summary-table-August-15-2019-eng.pdf" TargetMode="External" /><Relationship Type="http://schemas.openxmlformats.org/officeDocument/2006/relationships/hyperlink" Id="rId250" Target="https://www.canada.ca/en/health-canada/services/healthy-living/your-health/environment/drinking-water-chlorination.html" TargetMode="External" /><Relationship Type="http://schemas.openxmlformats.org/officeDocument/2006/relationships/hyperlink" Id="rId216" Target="https://www.crd.bc.ca/project/past-capital-projects-and-initiatives/water-supply-plan" TargetMode="External" /><Relationship Type="http://schemas.openxmlformats.org/officeDocument/2006/relationships/hyperlink" Id="rId209" Target="https://www.crd.bc.ca/service/public-tours/watershed-tours/facts-figures" TargetMode="External" /><Relationship Type="http://schemas.openxmlformats.org/officeDocument/2006/relationships/hyperlink" Id="rId3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2" Target="https://www.healthlinkbc.ca/healthlinkbc-files/drinking-water-chlorination" TargetMode="External" /><Relationship Type="http://schemas.openxmlformats.org/officeDocument/2006/relationships/hyperlink" Id="rId292" Target="https://www.jstor.org/stable/1937326" TargetMode="External" /><Relationship Type="http://schemas.openxmlformats.org/officeDocument/2006/relationships/hyperlink" Id="rId323" Target="https://www.jstor.org/stable/24702986" TargetMode="External" /><Relationship Type="http://schemas.openxmlformats.org/officeDocument/2006/relationships/hyperlink" Id="rId254" Target="https://www.jstor.org/stable/40058211" TargetMode="External" /><Relationship Type="http://schemas.openxmlformats.org/officeDocument/2006/relationships/hyperlink" Id="rId264" Target="https://www.jstor.org/stable/41311011" TargetMode="External" /><Relationship Type="http://schemas.openxmlformats.org/officeDocument/2006/relationships/hyperlink" Id="rId20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02" Target="http://hdl.handle.net/1885/40940" TargetMode="External" /><Relationship Type="http://schemas.openxmlformats.org/officeDocument/2006/relationships/hyperlink" Id="rId228" Target="http://scholar.google.com/scholar?hl=en%7B\&amp;%7DbtnG=Search%7B\&amp;%7Dq=intitle:Running+Pure%7B\#%7D1" TargetMode="External" /><Relationship Type="http://schemas.openxmlformats.org/officeDocument/2006/relationships/hyperlink" Id="rId239" Target="http://sis.agr.gc.ca/cansis/soils/bc/soils.html" TargetMode="External" /><Relationship Type="http://schemas.openxmlformats.org/officeDocument/2006/relationships/hyperlink" Id="rId308" Target="http://www.jstor.com/stable/41295152" TargetMode="External" /><Relationship Type="http://schemas.openxmlformats.org/officeDocument/2006/relationships/hyperlink" Id="rId194" Target="http://www.standardmethods.org/" TargetMode="External" /><Relationship Type="http://schemas.openxmlformats.org/officeDocument/2006/relationships/hyperlink" Id="rId276" Target="https://archive.org/details/metaltransportre00lazeuoft/mode/2up" TargetMode="External" /><Relationship Type="http://schemas.openxmlformats.org/officeDocument/2006/relationships/hyperlink" Id="rId233" Target="https://doi.org/10.1002/(SICI)1099-1085(199903)13:4%3C563::AID-HYP711%3E3.0.CO;2-N" TargetMode="External" /><Relationship Type="http://schemas.openxmlformats.org/officeDocument/2006/relationships/hyperlink" Id="rId184" Target="https://doi.org/10.1002/2017WR021578" TargetMode="External" /><Relationship Type="http://schemas.openxmlformats.org/officeDocument/2006/relationships/hyperlink" Id="rId274" Target="https://doi.org/10.1002/hyp.9686" TargetMode="External" /><Relationship Type="http://schemas.openxmlformats.org/officeDocument/2006/relationships/hyperlink" Id="rId186" Target="https://doi.org/10.1002/j.1551-8833.1995.tb06299.x" TargetMode="External" /><Relationship Type="http://schemas.openxmlformats.org/officeDocument/2006/relationships/hyperlink" Id="rId258" Target="https://doi.org/10.1002/j.1551-8833.1995.tb06302.x" TargetMode="External" /><Relationship Type="http://schemas.openxmlformats.org/officeDocument/2006/relationships/hyperlink" Id="rId266" Target="https://doi.org/10.1002/j.1551-8833.2002.tb10250.x" TargetMode="External" /><Relationship Type="http://schemas.openxmlformats.org/officeDocument/2006/relationships/hyperlink" Id="rId284" Target="https://doi.org/10.1002/rra.1504" TargetMode="External" /><Relationship Type="http://schemas.openxmlformats.org/officeDocument/2006/relationships/hyperlink" Id="rId312" Target="https://doi.org/10.1002/wat2.1367" TargetMode="External" /><Relationship Type="http://schemas.openxmlformats.org/officeDocument/2006/relationships/hyperlink" Id="rId214" Target="https://doi.org/10.1007/978-94-007-1363-5" TargetMode="External" /><Relationship Type="http://schemas.openxmlformats.org/officeDocument/2006/relationships/hyperlink" Id="rId341" Target="https://doi.org/10.1007/s10533-008-9207-6" TargetMode="External" /><Relationship Type="http://schemas.openxmlformats.org/officeDocument/2006/relationships/hyperlink" Id="rId296" Target="https://doi.org/10.1007/s10533-015-0103-6" TargetMode="External" /><Relationship Type="http://schemas.openxmlformats.org/officeDocument/2006/relationships/hyperlink" Id="rId290" Target="https://doi.org/10.1007/s10533-018-0482-6" TargetMode="External" /><Relationship Type="http://schemas.openxmlformats.org/officeDocument/2006/relationships/hyperlink" Id="rId339" Target="https://doi.org/10.1007/s10533-019-00561-w" TargetMode="External" /><Relationship Type="http://schemas.openxmlformats.org/officeDocument/2006/relationships/hyperlink" Id="rId310" Target="https://doi.org/10.1007/s11270-013-1651-9" TargetMode="External" /><Relationship Type="http://schemas.openxmlformats.org/officeDocument/2006/relationships/hyperlink" Id="rId345" Target="https://doi.org/10.1007/s11356-015-4078-6" TargetMode="External" /><Relationship Type="http://schemas.openxmlformats.org/officeDocument/2006/relationships/hyperlink" Id="rId200" Target="https://doi.org/10.1007/s11749-016-0481-7" TargetMode="External" /><Relationship Type="http://schemas.openxmlformats.org/officeDocument/2006/relationships/hyperlink" Id="rId321" Target="https://doi.org/10.1007/sl0533-010-9416-7" TargetMode="External" /><Relationship Type="http://schemas.openxmlformats.org/officeDocument/2006/relationships/hyperlink" Id="rId222" Target="https://doi.org/10.1016/B978-0-12-382092-1.00019-1" TargetMode="External" /><Relationship Type="http://schemas.openxmlformats.org/officeDocument/2006/relationships/hyperlink" Id="rId298" Target="https://doi.org/10.1016/J.JHYDROL.2018.09.011" TargetMode="External" /><Relationship Type="http://schemas.openxmlformats.org/officeDocument/2006/relationships/hyperlink" Id="rId314" Target="https://doi.org/10.1016/S0003-2670(96)00412-6" TargetMode="External" /><Relationship Type="http://schemas.openxmlformats.org/officeDocument/2006/relationships/hyperlink" Id="rId300" Target="https://doi.org/10.1016/j.advwatres.2015.09.026" TargetMode="External" /><Relationship Type="http://schemas.openxmlformats.org/officeDocument/2006/relationships/hyperlink" Id="rId286" Target="https://doi.org/10.1016/j.chemosphere.2011.01.018" TargetMode="External" /><Relationship Type="http://schemas.openxmlformats.org/officeDocument/2006/relationships/hyperlink" Id="rId288" Target="https://doi.org/10.1016/j.cis.2010.06.007" TargetMode="External" /><Relationship Type="http://schemas.openxmlformats.org/officeDocument/2006/relationships/hyperlink" Id="rId333" Target="https://doi.org/10.1016/j.jenvman.2007.03.001" TargetMode="External" /><Relationship Type="http://schemas.openxmlformats.org/officeDocument/2006/relationships/hyperlink" Id="rId280" Target="https://doi.org/10.1016/j.jhazmat.2014.02.009" TargetMode="External" /><Relationship Type="http://schemas.openxmlformats.org/officeDocument/2006/relationships/hyperlink" Id="rId190" Target="https://doi.org/10.1016/j.jhydrol.2014.05.060" TargetMode="External" /><Relationship Type="http://schemas.openxmlformats.org/officeDocument/2006/relationships/hyperlink" Id="rId237" Target="https://doi.org/10.1016/j.scitotenv.2007.11.027" TargetMode="External" /><Relationship Type="http://schemas.openxmlformats.org/officeDocument/2006/relationships/hyperlink" Id="rId325" Target="https://doi.org/10.1016/j.scitotenv.2016.09.113" TargetMode="External" /><Relationship Type="http://schemas.openxmlformats.org/officeDocument/2006/relationships/hyperlink" Id="rId230" Target="https://doi.org/10.1016/j.watres.2010.08.051" TargetMode="External" /><Relationship Type="http://schemas.openxmlformats.org/officeDocument/2006/relationships/hyperlink" Id="rId224" Target="https://doi.org/10.1016/j.watres.2016.08.031" TargetMode="External" /><Relationship Type="http://schemas.openxmlformats.org/officeDocument/2006/relationships/hyperlink" Id="rId198" Target="https://doi.org/10.1016/j.watres.2017.12.031" TargetMode="External" /><Relationship Type="http://schemas.openxmlformats.org/officeDocument/2006/relationships/hyperlink" Id="rId260" Target="https://doi.org/10.1017/CBO9781107415379.008" TargetMode="External" /><Relationship Type="http://schemas.openxmlformats.org/officeDocument/2006/relationships/hyperlink" Id="rId268" Target="https://doi.org/10.1021/acs.est.7b05513" TargetMode="External" /><Relationship Type="http://schemas.openxmlformats.org/officeDocument/2006/relationships/hyperlink" Id="rId343" Target="https://doi.org/10.1021/es030360x" TargetMode="External" /><Relationship Type="http://schemas.openxmlformats.org/officeDocument/2006/relationships/hyperlink" Id="rId188" Target="https://doi.org/10.1021/es103992s" TargetMode="External" /><Relationship Type="http://schemas.openxmlformats.org/officeDocument/2006/relationships/hyperlink" Id="rId282" Target="https://doi.org/10.1023/A:1010933404324" TargetMode="External" /><Relationship Type="http://schemas.openxmlformats.org/officeDocument/2006/relationships/hyperlink" Id="rId256" Target="https://doi.org/10.1029/2005JG000082" TargetMode="External" /><Relationship Type="http://schemas.openxmlformats.org/officeDocument/2006/relationships/hyperlink" Id="rId270" Target="https://doi.org/10.1029/2005WR004362" TargetMode="External" /><Relationship Type="http://schemas.openxmlformats.org/officeDocument/2006/relationships/hyperlink" Id="rId192" Target="https://doi.org/10.1029/2007JG000674" TargetMode="External" /><Relationship Type="http://schemas.openxmlformats.org/officeDocument/2006/relationships/hyperlink" Id="rId347" Target="https://doi.org/10.1029/2018GL080005" TargetMode="External" /><Relationship Type="http://schemas.openxmlformats.org/officeDocument/2006/relationships/hyperlink" Id="rId235" Target="https://doi.org/10.1029/97WR01881" TargetMode="External" /><Relationship Type="http://schemas.openxmlformats.org/officeDocument/2006/relationships/hyperlink" Id="rId331" Target="https://doi.org/10.1037/a0016973" TargetMode="External" /><Relationship Type="http://schemas.openxmlformats.org/officeDocument/2006/relationships/hyperlink" Id="rId318" Target="https://doi.org/10.1086/680682" TargetMode="External" /><Relationship Type="http://schemas.openxmlformats.org/officeDocument/2006/relationships/hyperlink" Id="rId182" Target="https://doi.org/10.1111/ele.12897" TargetMode="External" /><Relationship Type="http://schemas.openxmlformats.org/officeDocument/2006/relationships/hyperlink" Id="rId327" Target="https://doi.org/10.1111/j.1365-2427.2011.02613.x" TargetMode="External" /><Relationship Type="http://schemas.openxmlformats.org/officeDocument/2006/relationships/hyperlink" Id="rId220" Target="https://doi.org/10.1139/cjfas-2014-0400" TargetMode="External" /><Relationship Type="http://schemas.openxmlformats.org/officeDocument/2006/relationships/hyperlink" Id="rId329" Target="https://doi.org/10.1186/1471-2105-9-307" TargetMode="External" /><Relationship Type="http://schemas.openxmlformats.org/officeDocument/2006/relationships/hyperlink" Id="rId202" Target="https://doi.org/10.1201/9780367816377-11" TargetMode="External" /><Relationship Type="http://schemas.openxmlformats.org/officeDocument/2006/relationships/hyperlink" Id="rId244" Target="https://doi.org/10.13031/2013.15662" TargetMode="External" /><Relationship Type="http://schemas.openxmlformats.org/officeDocument/2006/relationships/hyperlink" Id="rId294" Target="https://doi.org/10.14288/1.0387350" TargetMode="External" /><Relationship Type="http://schemas.openxmlformats.org/officeDocument/2006/relationships/hyperlink" Id="rId196" Target="https://doi.org/10.2105/SMWW.2882.113" TargetMode="External" /><Relationship Type="http://schemas.openxmlformats.org/officeDocument/2006/relationships/hyperlink" Id="rId212" Target="https://doi.org/10.2166/aqua.2008.064" TargetMode="External" /><Relationship Type="http://schemas.openxmlformats.org/officeDocument/2006/relationships/hyperlink" Id="rId278" Target="https://doi.org/10.2166/wcc.2016.011" TargetMode="External" /><Relationship Type="http://schemas.openxmlformats.org/officeDocument/2006/relationships/hyperlink" Id="rId241" Target="https://doi.org/10.3133/fs06700" TargetMode="External" /><Relationship Type="http://schemas.openxmlformats.org/officeDocument/2006/relationships/hyperlink" Id="rId335" Target="https://doi.org/10.3390" TargetMode="External" /><Relationship Type="http://schemas.openxmlformats.org/officeDocument/2006/relationships/hyperlink" Id="rId306" Target="https://doi.org/10.5194/bg-10-2315-2013" TargetMode="External" /><Relationship Type="http://schemas.openxmlformats.org/officeDocument/2006/relationships/hyperlink" Id="rId272" Target="https://doi.org/10.5194/bg-11-3043-2014" TargetMode="External" /><Relationship Type="http://schemas.openxmlformats.org/officeDocument/2006/relationships/hyperlink" Id="rId304" Target="https://doi.org/10.5194/bg-14-3743-2017" TargetMode="External" /><Relationship Type="http://schemas.openxmlformats.org/officeDocument/2006/relationships/hyperlink" Id="rId218" Target="https://doi.org/IWSS-297445977-5079" TargetMode="External" /><Relationship Type="http://schemas.openxmlformats.org/officeDocument/2006/relationships/hyperlink" Id="rId262" Target="https://doi.org/doi:10.1046/j.1365-2427.1997.d01-539.x" TargetMode="External" /><Relationship Type="http://schemas.openxmlformats.org/officeDocument/2006/relationships/hyperlink" Id="rId226" Target="https://pubs.er.usgs.gov/publication/sir20075282" TargetMode="External" /><Relationship Type="http://schemas.openxmlformats.org/officeDocument/2006/relationships/hyperlink" Id="rId207" Target="https://soilsofcanada.ca" TargetMode="External" /><Relationship Type="http://schemas.openxmlformats.org/officeDocument/2006/relationships/hyperlink" Id="rId246" Target="https://www.canada.ca/content/dam/hc-sc/documents/programs/consultation-organic-matter-drinking-water/NOM20190129-eng.pdf" TargetMode="External" /><Relationship Type="http://schemas.openxmlformats.org/officeDocument/2006/relationships/hyperlink" Id="rId248" Target="https://www.canada.ca/content/dam/hc-sc/migration/hc-sc/ewh-semt/alt%7B\_%7Dformats/pdf/pubs/water-eau/sum%7B\_%7Dguide-res%7B\_%7Drecom/summary-table-August-15-2019-eng.pdf" TargetMode="External" /><Relationship Type="http://schemas.openxmlformats.org/officeDocument/2006/relationships/hyperlink" Id="rId250" Target="https://www.canada.ca/en/health-canada/services/healthy-living/your-health/environment/drinking-water-chlorination.html" TargetMode="External" /><Relationship Type="http://schemas.openxmlformats.org/officeDocument/2006/relationships/hyperlink" Id="rId216" Target="https://www.crd.bc.ca/project/past-capital-projects-and-initiatives/water-supply-plan" TargetMode="External" /><Relationship Type="http://schemas.openxmlformats.org/officeDocument/2006/relationships/hyperlink" Id="rId209" Target="https://www.crd.bc.ca/service/public-tours/watershed-tours/facts-figures" TargetMode="External" /><Relationship Type="http://schemas.openxmlformats.org/officeDocument/2006/relationships/hyperlink" Id="rId31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2" Target="https://www.healthlinkbc.ca/healthlinkbc-files/drinking-water-chlorination" TargetMode="External" /><Relationship Type="http://schemas.openxmlformats.org/officeDocument/2006/relationships/hyperlink" Id="rId292" Target="https://www.jstor.org/stable/1937326" TargetMode="External" /><Relationship Type="http://schemas.openxmlformats.org/officeDocument/2006/relationships/hyperlink" Id="rId323" Target="https://www.jstor.org/stable/24702986" TargetMode="External" /><Relationship Type="http://schemas.openxmlformats.org/officeDocument/2006/relationships/hyperlink" Id="rId254" Target="https://www.jstor.org/stable/40058211" TargetMode="External" /><Relationship Type="http://schemas.openxmlformats.org/officeDocument/2006/relationships/hyperlink" Id="rId264" Target="https://www.jstor.org/stable/41311011" TargetMode="External" /><Relationship Type="http://schemas.openxmlformats.org/officeDocument/2006/relationships/hyperlink" Id="rId20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creator>Hannah J. McSorley</dc:creator>
  <cp:keywords/>
  <dcterms:created xsi:type="dcterms:W3CDTF">2020-10-18T00:27:15Z</dcterms:created>
  <dcterms:modified xsi:type="dcterms:W3CDTF">2020-10-18T00:27:15Z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